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EB969">
      <w:pPr>
        <w:pStyle w:val="2"/>
      </w:pPr>
      <w:r>
        <w:rPr>
          <w:rFonts w:hint="eastAsia"/>
        </w:rPr>
        <w:t>中置柜用途</w:t>
      </w:r>
    </w:p>
    <w:p w14:paraId="74EBE6C7">
      <w:pPr>
        <w:ind w:firstLine="480"/>
      </w:pPr>
      <w:r>
        <w:rPr>
          <w:rFonts w:hint="eastAsia"/>
          <w:highlight w:val="yellow"/>
        </w:rPr>
        <w:t>中置柜主要用于10kV-35kV电力系统</w:t>
      </w:r>
      <w:r>
        <w:rPr>
          <w:rFonts w:hint="eastAsia"/>
        </w:rPr>
        <w:t>，核心作用是</w:t>
      </w:r>
      <w:r>
        <w:rPr>
          <w:rFonts w:hint="eastAsia"/>
          <w:lang w:eastAsia="zh-CN"/>
        </w:rPr>
        <w:t>接收</w:t>
      </w:r>
      <w:r>
        <w:rPr>
          <w:rFonts w:hint="eastAsia"/>
        </w:rPr>
        <w:t>和分配电能，并提供电路保护与控制。广泛适用于工业厂房、商业综合体、数据中心及新能源场站的配电系统。</w:t>
      </w:r>
    </w:p>
    <w:p w14:paraId="1901673E">
      <w:pPr>
        <w:ind w:firstLine="480"/>
        <w:rPr>
          <w:highlight w:val="yellow"/>
        </w:rPr>
      </w:pPr>
      <w:r>
        <w:rPr>
          <w:rFonts w:hint="eastAsia"/>
          <w:highlight w:val="yellow"/>
          <w:lang w:val="en-US" w:eastAsia="zh-CN"/>
        </w:rPr>
        <w:t>用于</w:t>
      </w:r>
      <w:r>
        <w:rPr>
          <w:rFonts w:hint="eastAsia"/>
          <w:highlight w:val="yellow"/>
        </w:rPr>
        <w:t>变电：常作为变电站（特别是二次变电所、开闭所）内的受电、送电及馈线柜，承担站内电能分配与保护功能。</w:t>
      </w:r>
    </w:p>
    <w:p w14:paraId="65E26E3E">
      <w:pPr>
        <w:ind w:firstLine="480"/>
      </w:pPr>
      <w:r>
        <w:rPr>
          <w:rFonts w:hint="eastAsia"/>
          <w:lang w:val="en-US" w:eastAsia="zh-CN"/>
        </w:rPr>
        <w:t>不用于</w:t>
      </w:r>
      <w:r>
        <w:rPr>
          <w:rFonts w:hint="eastAsia"/>
        </w:rPr>
        <w:t>输电：输电环节通常指110kV及以上高电压等级的电能传输，中置柜额定电压一般为10kV-35kV，无法用于主干输电网络，</w:t>
      </w:r>
      <w:r>
        <w:rPr>
          <w:rFonts w:hint="eastAsia"/>
          <w:highlight w:val="yellow"/>
        </w:rPr>
        <w:t>输电环节不涉及中置柜</w:t>
      </w:r>
      <w:r>
        <w:rPr>
          <w:rFonts w:hint="eastAsia"/>
        </w:rPr>
        <w:t>。</w:t>
      </w:r>
    </w:p>
    <w:p w14:paraId="3AAC2D9F">
      <w:pPr>
        <w:ind w:firstLine="480"/>
        <w:rPr>
          <w:highlight w:val="yellow"/>
        </w:rPr>
      </w:pPr>
      <w:r>
        <w:rPr>
          <w:rFonts w:hint="eastAsia"/>
          <w:highlight w:val="yellow"/>
          <w:lang w:val="en-US" w:eastAsia="zh-CN"/>
        </w:rPr>
        <w:t>用于</w:t>
      </w:r>
      <w:r>
        <w:rPr>
          <w:rFonts w:hint="eastAsia"/>
          <w:highlight w:val="yellow"/>
        </w:rPr>
        <w:t>配电：核心应用场景，用于10kV-35kV等中压等级向终端负荷（工厂、小区、商业）分配电能及线路保护，是配电网的关键设备。</w:t>
      </w:r>
    </w:p>
    <w:p w14:paraId="7A5EF238">
      <w:pPr>
        <w:ind w:firstLine="480"/>
      </w:pPr>
      <w:r>
        <w:rPr>
          <w:rFonts w:hint="eastAsia"/>
          <w:lang w:val="en-US" w:eastAsia="zh-CN"/>
        </w:rPr>
        <w:t>用于</w:t>
      </w:r>
      <w:r>
        <w:rPr>
          <w:rFonts w:hint="eastAsia"/>
        </w:rPr>
        <w:t>电能分配：在变电站、工矿企业</w:t>
      </w:r>
      <w:r>
        <w:rPr>
          <w:rFonts w:hint="eastAsia"/>
          <w:lang w:eastAsia="zh-CN"/>
        </w:rPr>
        <w:t>、</w:t>
      </w:r>
      <w:r>
        <w:rPr>
          <w:rFonts w:hint="eastAsia"/>
          <w:lang w:val="en-US" w:eastAsia="zh-CN"/>
        </w:rPr>
        <w:t>园区</w:t>
      </w:r>
      <w:r>
        <w:rPr>
          <w:rFonts w:hint="eastAsia"/>
        </w:rPr>
        <w:t>及楼宇配电房中，负责将电能接收并输送到不同用电回路。</w:t>
      </w:r>
    </w:p>
    <w:p w14:paraId="277F36CC">
      <w:pPr>
        <w:ind w:firstLine="480"/>
      </w:pPr>
      <w:r>
        <w:rPr>
          <w:rFonts w:hint="eastAsia"/>
          <w:lang w:val="en-US" w:eastAsia="zh-CN"/>
        </w:rPr>
        <w:t>用于</w:t>
      </w:r>
      <w:r>
        <w:rPr>
          <w:rFonts w:hint="eastAsia"/>
        </w:rPr>
        <w:t>安全保护：具备超负荷、短路及接地保护功能，通过“五防”联锁机制防止误操作，保障设备与人员安全。</w:t>
      </w:r>
    </w:p>
    <w:p w14:paraId="5665EBAD">
      <w:pPr>
        <w:pStyle w:val="2"/>
      </w:pPr>
      <w:r>
        <w:rPr>
          <w:rFonts w:hint="eastAsia"/>
        </w:rPr>
        <w:t>中置柜五防</w:t>
      </w:r>
    </w:p>
    <w:p w14:paraId="1F0F3533">
      <w:pPr>
        <w:ind w:firstLine="480"/>
      </w:pPr>
      <w:r>
        <w:rPr>
          <w:rFonts w:hint="eastAsia"/>
        </w:rPr>
        <w:t>中置柜是一种非常常见的高压开关柜，它的核心特征就是断路器（手车）被安装在开关柜的中间层。断路器被做成一个可抽出的“手车”，像抽屉一样位于柜体中部。负责电能的接收、分配和控制。中置柜在设计上已经内嵌了“五防”联锁功能，通过机械结构强制按顺序操作。</w:t>
      </w:r>
    </w:p>
    <w:p w14:paraId="20CBB36E">
      <w:pPr>
        <w:numPr>
          <w:ilvl w:val="0"/>
          <w:numId w:val="3"/>
        </w:numPr>
        <w:ind w:firstLineChars="0"/>
        <w:rPr>
          <w:rFonts w:hint="eastAsia"/>
          <w:highlight w:val="yellow"/>
        </w:rPr>
      </w:pPr>
      <w:r>
        <w:rPr>
          <w:rFonts w:hint="eastAsia"/>
          <w:highlight w:val="yellow"/>
        </w:rPr>
        <w:t>防止误分合断路器</w:t>
      </w:r>
      <w:r>
        <w:rPr>
          <w:rFonts w:hint="eastAsia"/>
          <w:highlight w:val="yellow"/>
          <w:lang w:eastAsia="zh-CN"/>
        </w:rPr>
        <w:t>：将电脑钥匙依次插入各个柜子的编码锁，程序自动判断，确保只有当前操作任务指定的唯一断路器可以被操作。</w:t>
      </w:r>
    </w:p>
    <w:p w14:paraId="41AF5203">
      <w:pPr>
        <w:ind w:firstLine="480"/>
      </w:pPr>
      <w:r>
        <w:rPr>
          <w:rFonts w:hint="eastAsia"/>
        </w:rPr>
        <w:t>切换开关就地：开关在分位，闭锁合闸位置时只能进行分闸操作。</w:t>
      </w:r>
    </w:p>
    <w:p w14:paraId="7DEA08C4">
      <w:pPr>
        <w:numPr>
          <w:ilvl w:val="0"/>
          <w:numId w:val="3"/>
        </w:numPr>
        <w:ind w:firstLineChars="0"/>
        <w:rPr>
          <w:rFonts w:hint="eastAsia"/>
          <w:highlight w:val="yellow"/>
        </w:rPr>
      </w:pPr>
      <w:r>
        <w:rPr>
          <w:rFonts w:hint="eastAsia"/>
          <w:highlight w:val="yellow"/>
        </w:rPr>
        <w:t>防止带负荷</w:t>
      </w:r>
      <w:r>
        <w:rPr>
          <w:rFonts w:hint="eastAsia"/>
          <w:highlight w:val="yellow"/>
          <w:lang w:val="en-US" w:eastAsia="zh-CN"/>
        </w:rPr>
        <w:t>分</w:t>
      </w:r>
      <w:r>
        <w:rPr>
          <w:rFonts w:hint="eastAsia"/>
          <w:highlight w:val="yellow"/>
        </w:rPr>
        <w:t>合隔离开关</w:t>
      </w:r>
      <w:r>
        <w:rPr>
          <w:rFonts w:hint="eastAsia"/>
          <w:highlight w:val="yellow"/>
          <w:lang w:eastAsia="zh-CN"/>
        </w:rPr>
        <w:t>：</w:t>
      </w:r>
      <w:r>
        <w:rPr>
          <w:rFonts w:hint="eastAsia"/>
          <w:highlight w:val="yellow"/>
          <w:lang w:val="en-US" w:eastAsia="zh-CN"/>
        </w:rPr>
        <w:t>只有</w:t>
      </w:r>
      <w:r>
        <w:rPr>
          <w:rFonts w:hint="eastAsia"/>
          <w:highlight w:val="yellow"/>
          <w:lang w:eastAsia="zh-CN"/>
        </w:rPr>
        <w:t>先断开断路器，</w:t>
      </w:r>
      <w:r>
        <w:rPr>
          <w:rFonts w:hint="eastAsia"/>
          <w:highlight w:val="yellow"/>
          <w:lang w:val="en-US" w:eastAsia="zh-CN"/>
        </w:rPr>
        <w:t>手车才能进行摇入、摇出操作</w:t>
      </w:r>
      <w:r>
        <w:rPr>
          <w:rFonts w:hint="eastAsia"/>
          <w:highlight w:val="yellow"/>
          <w:lang w:eastAsia="zh-CN"/>
        </w:rPr>
        <w:t>。</w:t>
      </w:r>
    </w:p>
    <w:p w14:paraId="165F3294">
      <w:pPr>
        <w:ind w:firstLine="480"/>
      </w:pPr>
      <w:r>
        <w:rPr>
          <w:rFonts w:hint="eastAsia"/>
        </w:rPr>
        <w:t>防止断路器在合位时，对手车进行摇入或摇出。</w:t>
      </w:r>
    </w:p>
    <w:p w14:paraId="49F23227">
      <w:pPr>
        <w:ind w:firstLine="480"/>
      </w:pPr>
      <w:r>
        <w:rPr>
          <w:rFonts w:hint="eastAsia"/>
        </w:rPr>
        <w:t>需要用到</w:t>
      </w:r>
      <w:r>
        <w:rPr>
          <w:rFonts w:hint="eastAsia"/>
          <w:lang w:val="en-US" w:eastAsia="zh-CN"/>
        </w:rPr>
        <w:t>手车转运车</w:t>
      </w:r>
      <w:r>
        <w:rPr>
          <w:rFonts w:hint="eastAsia"/>
        </w:rPr>
        <w:t>工具</w:t>
      </w:r>
      <w:r>
        <w:rPr>
          <w:rFonts w:hint="eastAsia"/>
          <w:lang w:eastAsia="zh-CN"/>
        </w:rPr>
        <w:t>，</w:t>
      </w:r>
      <w:r>
        <w:rPr>
          <w:rFonts w:hint="eastAsia"/>
          <w:lang w:val="en-US" w:eastAsia="zh-CN"/>
        </w:rPr>
        <w:t>手车转运车</w:t>
      </w:r>
      <w:r>
        <w:rPr>
          <w:rFonts w:hint="eastAsia"/>
        </w:rPr>
        <w:t>需与手车室柜体连接。</w:t>
      </w:r>
    </w:p>
    <w:p w14:paraId="6B7AE239">
      <w:pPr>
        <w:numPr>
          <w:ilvl w:val="0"/>
          <w:numId w:val="3"/>
        </w:numPr>
        <w:ind w:firstLineChars="0"/>
        <w:rPr>
          <w:rFonts w:hint="eastAsia"/>
          <w:highlight w:val="yellow"/>
        </w:rPr>
      </w:pPr>
      <w:r>
        <w:rPr>
          <w:rFonts w:hint="eastAsia"/>
          <w:highlight w:val="yellow"/>
        </w:rPr>
        <w:t>防止带电合地刀</w:t>
      </w:r>
      <w:r>
        <w:rPr>
          <w:rFonts w:hint="eastAsia"/>
          <w:highlight w:val="yellow"/>
          <w:lang w:eastAsia="zh-CN"/>
        </w:rPr>
        <w:t>：</w:t>
      </w:r>
      <w:r>
        <w:rPr>
          <w:rFonts w:hint="eastAsia"/>
          <w:highlight w:val="yellow"/>
          <w:lang w:val="en-US" w:eastAsia="zh-CN"/>
        </w:rPr>
        <w:t>断路器在合位，地刀被强制锁住无法进行合操作。</w:t>
      </w:r>
    </w:p>
    <w:p w14:paraId="64459FAA">
      <w:pPr>
        <w:ind w:firstLine="480"/>
        <w:rPr>
          <w:highlight w:val="yellow"/>
        </w:rPr>
      </w:pPr>
      <w:r>
        <w:rPr>
          <w:rFonts w:hint="eastAsia"/>
          <w:highlight w:val="yellow"/>
        </w:rPr>
        <w:t>检测断路器及线路侧是否带电，若检测到有电，则强制锁住接地刀闸，使其无法合上。</w:t>
      </w:r>
    </w:p>
    <w:p w14:paraId="6ADBF856">
      <w:pPr>
        <w:numPr>
          <w:ilvl w:val="0"/>
          <w:numId w:val="3"/>
        </w:numPr>
        <w:ind w:firstLineChars="0"/>
        <w:rPr>
          <w:rFonts w:hint="eastAsia"/>
          <w:highlight w:val="yellow"/>
        </w:rPr>
      </w:pPr>
      <w:r>
        <w:rPr>
          <w:rFonts w:hint="eastAsia"/>
          <w:highlight w:val="yellow"/>
        </w:rPr>
        <w:t>防止带地刀送电</w:t>
      </w:r>
      <w:r>
        <w:rPr>
          <w:rFonts w:hint="eastAsia"/>
          <w:highlight w:val="yellow"/>
          <w:lang w:eastAsia="zh-CN"/>
        </w:rPr>
        <w:t>：</w:t>
      </w:r>
      <w:r>
        <w:rPr>
          <w:rFonts w:hint="eastAsia"/>
          <w:highlight w:val="yellow"/>
          <w:lang w:val="en-US" w:eastAsia="zh-CN"/>
        </w:rPr>
        <w:t>地刀在合位，断路器被强制锁住无法进行合操作。</w:t>
      </w:r>
    </w:p>
    <w:p w14:paraId="13D2F7DA">
      <w:pPr>
        <w:ind w:firstLine="480"/>
      </w:pPr>
      <w:r>
        <w:rPr>
          <w:rFonts w:hint="eastAsia"/>
        </w:rPr>
        <w:t>检测接地刀闸的位置状态，若处于合位，则强制锁住断路器，使其无法合闸。</w:t>
      </w:r>
    </w:p>
    <w:p w14:paraId="50FC2880">
      <w:pPr>
        <w:numPr>
          <w:ilvl w:val="0"/>
          <w:numId w:val="3"/>
        </w:numPr>
        <w:ind w:firstLineChars="0"/>
        <w:rPr>
          <w:rFonts w:hint="eastAsia"/>
          <w:highlight w:val="yellow"/>
        </w:rPr>
      </w:pPr>
      <w:r>
        <w:rPr>
          <w:rFonts w:hint="eastAsia"/>
          <w:highlight w:val="yellow"/>
        </w:rPr>
        <w:t>防止误入带电间隔</w:t>
      </w:r>
      <w:r>
        <w:rPr>
          <w:rFonts w:hint="eastAsia"/>
          <w:highlight w:val="yellow"/>
          <w:lang w:eastAsia="zh-CN"/>
        </w:rPr>
        <w:t>：</w:t>
      </w:r>
      <w:r>
        <w:rPr>
          <w:rFonts w:hint="eastAsia"/>
          <w:highlight w:val="yellow"/>
          <w:lang w:val="en-US" w:eastAsia="zh-CN"/>
        </w:rPr>
        <w:t>物理门禁作用，只有按顺序停电操作，并且地刀接地后，柜门才能打开。</w:t>
      </w:r>
    </w:p>
    <w:p w14:paraId="5D212342">
      <w:pPr>
        <w:bidi w:val="0"/>
        <w:rPr>
          <w:rFonts w:hint="eastAsia"/>
        </w:rPr>
      </w:pPr>
      <w:r>
        <w:rPr>
          <w:rFonts w:hint="eastAsia"/>
        </w:rPr>
        <w:t>控制柜门电磁锁，只有在断路器断开且接地刀闸合上后，门锁才可解锁打开。</w:t>
      </w:r>
    </w:p>
    <w:p w14:paraId="4CAF1DA6">
      <w:pPr>
        <w:pStyle w:val="2"/>
      </w:pPr>
      <w:r>
        <w:rPr>
          <w:rFonts w:hint="eastAsia"/>
          <w:lang w:val="en-US" w:eastAsia="zh-CN"/>
        </w:rPr>
        <w:t>中置柜</w:t>
      </w:r>
      <w:r>
        <w:rPr>
          <w:rFonts w:hint="eastAsia"/>
        </w:rPr>
        <w:t>布局</w:t>
      </w:r>
    </w:p>
    <w:p w14:paraId="23FE82CB">
      <w:pPr>
        <w:pStyle w:val="26"/>
      </w:pPr>
      <w:r>
        <w:drawing>
          <wp:inline distT="0" distB="0" distL="0" distR="0">
            <wp:extent cx="5274310" cy="406273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2"/>
                    <a:stretch>
                      <a:fillRect/>
                    </a:stretch>
                  </pic:blipFill>
                  <pic:spPr>
                    <a:xfrm>
                      <a:off x="0" y="0"/>
                      <a:ext cx="5274310" cy="4062730"/>
                    </a:xfrm>
                    <a:prstGeom prst="rect">
                      <a:avLst/>
                    </a:prstGeom>
                  </pic:spPr>
                </pic:pic>
              </a:graphicData>
            </a:graphic>
          </wp:inline>
        </w:drawing>
      </w:r>
    </w:p>
    <w:p w14:paraId="64791A27">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1</w:t>
      </w:r>
      <w:r>
        <w:fldChar w:fldCharType="end"/>
      </w:r>
      <w:r>
        <w:rPr>
          <w:rFonts w:hint="eastAsia"/>
        </w:rPr>
        <w:t>柜面布局（上中下三层）</w:t>
      </w:r>
    </w:p>
    <w:p w14:paraId="06CE0FEE">
      <w:pPr>
        <w:ind w:firstLine="480"/>
      </w:pPr>
      <w:r>
        <w:rPr>
          <w:rFonts w:hint="eastAsia"/>
        </w:rPr>
        <w:t>控制室包含：电流表、带电指示器、切换开关、分合闸转换开关、分合闸电路图位置显示、指示灯。</w:t>
      </w:r>
    </w:p>
    <w:p w14:paraId="1A1A5A40">
      <w:pPr>
        <w:ind w:firstLine="480"/>
        <w:rPr>
          <w:rFonts w:hint="default" w:eastAsia="仿宋"/>
          <w:lang w:val="en-US" w:eastAsia="zh-CN"/>
        </w:rPr>
      </w:pPr>
      <w:r>
        <w:rPr>
          <w:rFonts w:hint="eastAsia"/>
        </w:rPr>
        <w:t>手车室包含：急停按钮（紧急分闸装置）、手车操作孔（手车底盘操作机构孔）。</w:t>
      </w:r>
    </w:p>
    <w:p w14:paraId="2EF282A1">
      <w:pPr>
        <w:ind w:firstLine="480"/>
        <w:rPr>
          <w:rFonts w:hint="eastAsia"/>
        </w:rPr>
      </w:pPr>
      <w:r>
        <w:rPr>
          <w:rFonts w:hint="eastAsia"/>
        </w:rPr>
        <w:t>地刀室包含：地刀电磁锁（部分柜型有，电磁锁属于“五防”联锁系统的可选或增强组件）、地刀</w:t>
      </w:r>
      <w:r>
        <w:t>操作孔联锁板</w:t>
      </w:r>
      <w:r>
        <w:rPr>
          <w:rFonts w:hint="eastAsia"/>
        </w:rPr>
        <w:t>、地刀操作孔（地刀操作机构孔）。</w:t>
      </w:r>
    </w:p>
    <w:p w14:paraId="71380847">
      <w:pPr>
        <w:ind w:firstLine="480"/>
        <w:rPr>
          <w:rFonts w:hint="default" w:eastAsia="仿宋"/>
          <w:lang w:val="en-US" w:eastAsia="zh-CN"/>
        </w:rPr>
      </w:pPr>
      <w:r>
        <w:rPr>
          <w:rFonts w:hint="eastAsia"/>
          <w:lang w:val="en-US" w:eastAsia="zh-CN"/>
        </w:rPr>
        <w:t>Ps：同一个开闭所或配电室，配电柜高度、上中下三层高度完全相同。</w:t>
      </w:r>
    </w:p>
    <w:p w14:paraId="7E95B709">
      <w:pPr>
        <w:pStyle w:val="3"/>
      </w:pPr>
      <w:r>
        <w:rPr>
          <w:rFonts w:hint="eastAsia"/>
        </w:rPr>
        <w:t>切换开关</w:t>
      </w:r>
    </w:p>
    <w:p w14:paraId="0C493E16">
      <w:pPr>
        <w:pStyle w:val="26"/>
      </w:pPr>
      <w:r>
        <w:drawing>
          <wp:inline distT="0" distB="0" distL="0" distR="0">
            <wp:extent cx="5274310" cy="1635760"/>
            <wp:effectExtent l="0" t="0" r="254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a:stretch>
                      <a:fillRect/>
                    </a:stretch>
                  </pic:blipFill>
                  <pic:spPr>
                    <a:xfrm>
                      <a:off x="0" y="0"/>
                      <a:ext cx="5274310" cy="1635760"/>
                    </a:xfrm>
                    <a:prstGeom prst="rect">
                      <a:avLst/>
                    </a:prstGeom>
                  </pic:spPr>
                </pic:pic>
              </a:graphicData>
            </a:graphic>
          </wp:inline>
        </w:drawing>
      </w:r>
    </w:p>
    <w:p w14:paraId="010FB247">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2</w:t>
      </w:r>
      <w:r>
        <w:fldChar w:fldCharType="end"/>
      </w:r>
      <w:r>
        <w:rPr>
          <w:rFonts w:hint="eastAsia"/>
        </w:rPr>
        <w:t>切换开关、分合闸开关</w:t>
      </w:r>
    </w:p>
    <w:p w14:paraId="5A60204E">
      <w:pPr>
        <w:ind w:firstLine="480"/>
      </w:pPr>
      <w:r>
        <w:rPr>
          <w:rFonts w:hint="eastAsia"/>
        </w:rPr>
        <w:t>“就地</w:t>
      </w:r>
      <w:r>
        <w:t>/远方”切换开关用于选择断路器及接地刀闸的操作控制权归属：就地位允许人员在柜前现场手动操作，远方位将控制权移交至主控室或自动化系统，禁止就地按钮动作</w:t>
      </w:r>
      <w:r>
        <w:rPr>
          <w:rFonts w:hint="eastAsia"/>
        </w:rPr>
        <w:t>。</w:t>
      </w:r>
    </w:p>
    <w:p w14:paraId="3A05FE2E">
      <w:pPr>
        <w:ind w:firstLine="480"/>
      </w:pPr>
      <w:r>
        <w:rPr>
          <w:rFonts w:hint="eastAsia"/>
        </w:rPr>
        <w:t>就地</w:t>
      </w:r>
      <w:r>
        <w:t>：检修、调试或紧急处理时使用。切换至此位置后，主控室遥控失效，仅能通过柜面板上的“合闸/分闸”按钮或机械手柄进行操作</w:t>
      </w:r>
      <w:r>
        <w:rPr>
          <w:rFonts w:hint="eastAsia"/>
        </w:rPr>
        <w:t>。</w:t>
      </w:r>
    </w:p>
    <w:p w14:paraId="46130F3B">
      <w:pPr>
        <w:ind w:firstLine="480"/>
      </w:pPr>
      <w:r>
        <w:rPr>
          <w:rFonts w:hint="eastAsia"/>
        </w:rPr>
        <w:t>远方</w:t>
      </w:r>
      <w:r>
        <w:t>：正常运行模式。切换至此位置后，柜面就地操作按钮被电气闭锁无效，所有分合闸指令由调度中心、综保装置或后台监控系统远程下发</w:t>
      </w:r>
      <w:r>
        <w:rPr>
          <w:rFonts w:hint="eastAsia"/>
        </w:rPr>
        <w:t>。</w:t>
      </w:r>
    </w:p>
    <w:p w14:paraId="003F2946">
      <w:pPr>
        <w:pStyle w:val="3"/>
      </w:pPr>
      <w:r>
        <w:rPr>
          <w:rFonts w:hint="eastAsia"/>
        </w:rPr>
        <w:t>分合闸转换开关</w:t>
      </w:r>
    </w:p>
    <w:p w14:paraId="3D4A4BBA">
      <w:pPr>
        <w:pStyle w:val="26"/>
      </w:pPr>
      <w:r>
        <w:drawing>
          <wp:inline distT="0" distB="0" distL="0" distR="0">
            <wp:extent cx="5274310" cy="1706880"/>
            <wp:effectExtent l="0" t="0" r="2540"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4"/>
                    <a:stretch>
                      <a:fillRect/>
                    </a:stretch>
                  </pic:blipFill>
                  <pic:spPr>
                    <a:xfrm>
                      <a:off x="0" y="0"/>
                      <a:ext cx="5274310" cy="1706880"/>
                    </a:xfrm>
                    <a:prstGeom prst="rect">
                      <a:avLst/>
                    </a:prstGeom>
                  </pic:spPr>
                </pic:pic>
              </a:graphicData>
            </a:graphic>
          </wp:inline>
        </w:drawing>
      </w:r>
    </w:p>
    <w:p w14:paraId="796BB6ED">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3</w:t>
      </w:r>
      <w:r>
        <w:fldChar w:fldCharType="end"/>
      </w:r>
      <w:r>
        <w:rPr>
          <w:rFonts w:hint="eastAsia"/>
        </w:rPr>
        <w:t>分合闸转换开关</w:t>
      </w:r>
    </w:p>
    <w:p w14:paraId="2355E2CD">
      <w:pPr>
        <w:ind w:firstLine="480"/>
        <w:rPr>
          <w:rFonts w:eastAsiaTheme="minorEastAsia"/>
        </w:rPr>
      </w:pPr>
      <w:r>
        <w:rPr>
          <w:rFonts w:hint="eastAsia"/>
        </w:rPr>
        <w:t>在“就地手动”模式下，通过旋转操作实现断路器的安全分闸与合闸控制，并作为“五防”闭锁的关键环节防止误操作。专用于检修或应急时的非频繁手动操作，不具备频繁切换能力，需配合手车位置（必须在工作位置）方可生效</w:t>
      </w:r>
      <w:r>
        <w:t>。</w:t>
      </w:r>
    </w:p>
    <w:p w14:paraId="6D947552">
      <w:pPr>
        <w:ind w:firstLine="480"/>
      </w:pPr>
      <w:r>
        <w:rPr>
          <w:rFonts w:hint="eastAsia"/>
        </w:rPr>
        <w:t>就地分合闸执行：当控制模式切换至“就地”时，旋动该开关（通常顺时针合闸、逆时针分闸）直接接通控制回路，驱动断路器完成分</w:t>
      </w:r>
      <w:r>
        <w:t>/合动作。</w:t>
      </w:r>
    </w:p>
    <w:p w14:paraId="38917855">
      <w:pPr>
        <w:ind w:firstLine="480"/>
      </w:pPr>
      <w:r>
        <w:t>P</w:t>
      </w:r>
      <w:r>
        <w:rPr>
          <w:rFonts w:hint="eastAsia"/>
        </w:rPr>
        <w:t>s：部分设计为带钥匙型转换开关，正常运行时取下钥匙可物理锁定操作机构，强制防止误分误合断路器，满足“五防”要求</w:t>
      </w:r>
      <w:r>
        <w:t>。</w:t>
      </w:r>
    </w:p>
    <w:p w14:paraId="33048109">
      <w:pPr>
        <w:pStyle w:val="3"/>
      </w:pPr>
      <w:r>
        <w:rPr>
          <w:rFonts w:hint="eastAsia"/>
        </w:rPr>
        <w:t>控制压板</w:t>
      </w:r>
    </w:p>
    <w:p w14:paraId="4ED7059E">
      <w:pPr>
        <w:pStyle w:val="26"/>
      </w:pPr>
      <w:r>
        <w:drawing>
          <wp:inline distT="0" distB="0" distL="114300" distR="114300">
            <wp:extent cx="5269230" cy="1501140"/>
            <wp:effectExtent l="0" t="0" r="3810" b="762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15"/>
                    <a:stretch>
                      <a:fillRect/>
                    </a:stretch>
                  </pic:blipFill>
                  <pic:spPr>
                    <a:xfrm>
                      <a:off x="0" y="0"/>
                      <a:ext cx="5269230" cy="1501140"/>
                    </a:xfrm>
                    <a:prstGeom prst="rect">
                      <a:avLst/>
                    </a:prstGeom>
                    <a:noFill/>
                    <a:ln>
                      <a:noFill/>
                    </a:ln>
                  </pic:spPr>
                </pic:pic>
              </a:graphicData>
            </a:graphic>
          </wp:inline>
        </w:drawing>
      </w:r>
    </w:p>
    <w:p w14:paraId="29FF65F3">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4</w:t>
      </w:r>
      <w:r>
        <w:fldChar w:fldCharType="end"/>
      </w:r>
      <w:r>
        <w:rPr>
          <w:rFonts w:hint="eastAsia"/>
        </w:rPr>
        <w:t>控制压板（螺丝压板）</w:t>
      </w:r>
    </w:p>
    <w:p w14:paraId="45F6F62A">
      <w:pPr>
        <w:ind w:firstLine="480"/>
      </w:pPr>
      <w:r>
        <w:t>压板是继电保护二次回路中的手动投切开关，用于控制保护功能的启用/退出或阻断/接通跳闸出口信号，确保检修安全与运行方式灵活切换。</w:t>
      </w:r>
    </w:p>
    <w:p w14:paraId="2E4E8FC3">
      <w:pPr>
        <w:ind w:firstLine="480"/>
      </w:pPr>
      <w:r>
        <w:t>功能投退：投入或退出特定保护逻辑（如过流、零序、距离保护等），不直接动作于断路器。</w:t>
      </w:r>
    </w:p>
    <w:p w14:paraId="16EDF1E7">
      <w:pPr>
        <w:ind w:firstLine="480"/>
      </w:pPr>
      <w:r>
        <w:t>安全隔离：检修或试验时断开压板，形成可视断开点，防止误跳运行设备或干扰监控系统。</w:t>
      </w:r>
    </w:p>
    <w:p w14:paraId="4165D806">
      <w:pPr>
        <w:ind w:firstLine="480"/>
      </w:pPr>
      <w:r>
        <w:t>出口控制：作为跳闸回路的“物理断点”，决定保护动作后是否真正发出跳闸指令（跳闸出口压板）或启动其他设备（启动压板）。</w:t>
      </w:r>
    </w:p>
    <w:p w14:paraId="7B1D455A">
      <w:pPr>
        <w:ind w:firstLine="480"/>
      </w:pPr>
      <w:r>
        <w:rPr>
          <w:rFonts w:hint="eastAsia"/>
        </w:rPr>
        <w:t>Ps：压板有两种类型：一种是螺丝压板，另一种是提拉压板。压板的本质即可视导线（可视闭合点、断开点）。</w:t>
      </w:r>
    </w:p>
    <w:p w14:paraId="2CFA9278">
      <w:pPr>
        <w:pStyle w:val="26"/>
      </w:pPr>
      <w:r>
        <w:drawing>
          <wp:inline distT="0" distB="0" distL="114300" distR="114300">
            <wp:extent cx="1821180" cy="2110740"/>
            <wp:effectExtent l="0" t="0" r="7620" b="381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16"/>
                    <a:srcRect t="3802" b="3062"/>
                    <a:stretch>
                      <a:fillRect/>
                    </a:stretch>
                  </pic:blipFill>
                  <pic:spPr>
                    <a:xfrm>
                      <a:off x="0" y="0"/>
                      <a:ext cx="1821887" cy="2111569"/>
                    </a:xfrm>
                    <a:prstGeom prst="rect">
                      <a:avLst/>
                    </a:prstGeom>
                    <a:noFill/>
                    <a:ln>
                      <a:noFill/>
                    </a:ln>
                  </pic:spPr>
                </pic:pic>
              </a:graphicData>
            </a:graphic>
          </wp:inline>
        </w:drawing>
      </w:r>
    </w:p>
    <w:p w14:paraId="23D1DA57">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5</w:t>
      </w:r>
      <w:r>
        <w:fldChar w:fldCharType="end"/>
      </w:r>
      <w:r>
        <w:rPr>
          <w:rFonts w:hint="eastAsia"/>
        </w:rPr>
        <w:t>提拉压板</w:t>
      </w:r>
    </w:p>
    <w:p w14:paraId="2489BE7C">
      <w:pPr>
        <w:pStyle w:val="3"/>
      </w:pPr>
      <w:r>
        <w:rPr>
          <w:rFonts w:hint="eastAsia"/>
        </w:rPr>
        <w:t>手车操作孔</w:t>
      </w:r>
    </w:p>
    <w:p w14:paraId="6E472930">
      <w:pPr>
        <w:pStyle w:val="26"/>
      </w:pPr>
      <w:r>
        <w:drawing>
          <wp:inline distT="0" distB="0" distL="0" distR="0">
            <wp:extent cx="3941445" cy="1691640"/>
            <wp:effectExtent l="0" t="0" r="1905"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7"/>
                    <a:srcRect b="11170"/>
                    <a:stretch>
                      <a:fillRect/>
                    </a:stretch>
                  </pic:blipFill>
                  <pic:spPr>
                    <a:xfrm>
                      <a:off x="0" y="0"/>
                      <a:ext cx="3942857" cy="1691993"/>
                    </a:xfrm>
                    <a:prstGeom prst="rect">
                      <a:avLst/>
                    </a:prstGeom>
                    <a:ln>
                      <a:noFill/>
                    </a:ln>
                  </pic:spPr>
                </pic:pic>
              </a:graphicData>
            </a:graphic>
          </wp:inline>
        </w:drawing>
      </w:r>
    </w:p>
    <w:p w14:paraId="588B8AC9">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6</w:t>
      </w:r>
      <w:r>
        <w:fldChar w:fldCharType="end"/>
      </w:r>
      <w:r>
        <w:rPr>
          <w:rFonts w:hint="eastAsia"/>
        </w:rPr>
        <w:t>手车操作孔</w:t>
      </w:r>
    </w:p>
    <w:p w14:paraId="1D902ADB">
      <w:pPr>
        <w:pStyle w:val="8"/>
        <w:ind w:firstLine="480"/>
      </w:pPr>
      <w:r>
        <w:rPr>
          <w:rFonts w:hint="eastAsia"/>
        </w:rPr>
        <w:t>是用于插入专用摇把以驱动丝杠机构，实现断路器手车在“试验位置”与“工作位置”间安全移入</w:t>
      </w:r>
      <w:r>
        <w:t>/移出的机械接口。</w:t>
      </w:r>
    </w:p>
    <w:p w14:paraId="46BEB59B">
      <w:pPr>
        <w:pStyle w:val="8"/>
        <w:ind w:firstLine="480"/>
        <w:rPr>
          <w:rFonts w:ascii="仿宋" w:hAnsi="仿宋"/>
        </w:rPr>
      </w:pPr>
      <w:r>
        <w:rPr>
          <w:rFonts w:hint="eastAsia"/>
        </w:rPr>
        <w:t>手车位置切换</w:t>
      </w:r>
      <w:r>
        <w:rPr>
          <w:rFonts w:hint="eastAsia" w:ascii="仿宋" w:hAnsi="仿宋"/>
        </w:rPr>
        <w:t>：通过插入摇柄旋转，将手车从试验位置推进至工作位置（接通主回路），或从工作位置拉回至试验位置（断开主回路）。</w:t>
      </w:r>
    </w:p>
    <w:p w14:paraId="5BCB46B7">
      <w:pPr>
        <w:pStyle w:val="8"/>
        <w:ind w:firstLine="480"/>
      </w:pPr>
      <w:r>
        <w:rPr>
          <w:rFonts w:hint="eastAsia"/>
        </w:rPr>
        <w:t>确保操作安全</w:t>
      </w:r>
      <w:r>
        <w:rPr>
          <w:rFonts w:hint="eastAsia" w:ascii="仿宋" w:hAnsi="仿宋"/>
        </w:rPr>
        <w:t>：必须在柜门关闭且满</w:t>
      </w:r>
      <w:r>
        <w:rPr>
          <w:rFonts w:hint="eastAsia"/>
        </w:rPr>
        <w:t>足联锁条件（如断路器分闸、接地开关分闸等）下操作，防止带负荷推拉手车或误入带电间隔。</w:t>
      </w:r>
    </w:p>
    <w:p w14:paraId="6AEF77B7">
      <w:pPr>
        <w:pStyle w:val="8"/>
        <w:ind w:firstLine="480"/>
      </w:pPr>
      <w:r>
        <w:rPr>
          <w:rFonts w:hint="eastAsia"/>
        </w:rPr>
        <w:t>将专用摇柄（手车摇把）插入操作孔并压紧，顺时针转动为</w:t>
      </w:r>
      <w:r>
        <w:rPr>
          <w:rFonts w:hint="eastAsia" w:ascii="仿宋" w:hAnsi="仿宋"/>
        </w:rPr>
        <w:t>推进（至工作位置），逆时针转动为退出（至试验位置）。</w:t>
      </w:r>
    </w:p>
    <w:p w14:paraId="22394A9A">
      <w:pPr>
        <w:pStyle w:val="3"/>
      </w:pPr>
      <w:r>
        <w:rPr>
          <w:rFonts w:hint="eastAsia"/>
        </w:rPr>
        <w:t>地刀操作孔</w:t>
      </w:r>
    </w:p>
    <w:p w14:paraId="2C94216C">
      <w:pPr>
        <w:pStyle w:val="26"/>
      </w:pPr>
      <w:r>
        <w:drawing>
          <wp:inline distT="0" distB="0" distL="0" distR="0">
            <wp:extent cx="5274310" cy="200215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rcRect t="16786"/>
                    <a:stretch>
                      <a:fillRect/>
                    </a:stretch>
                  </pic:blipFill>
                  <pic:spPr>
                    <a:xfrm>
                      <a:off x="0" y="0"/>
                      <a:ext cx="5274310" cy="2002155"/>
                    </a:xfrm>
                    <a:prstGeom prst="rect">
                      <a:avLst/>
                    </a:prstGeom>
                    <a:ln>
                      <a:noFill/>
                    </a:ln>
                  </pic:spPr>
                </pic:pic>
              </a:graphicData>
            </a:graphic>
          </wp:inline>
        </w:drawing>
      </w:r>
    </w:p>
    <w:p w14:paraId="6AC49752">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7</w:t>
      </w:r>
      <w:r>
        <w:fldChar w:fldCharType="end"/>
      </w:r>
      <w:r>
        <w:rPr>
          <w:rFonts w:hint="eastAsia"/>
        </w:rPr>
        <w:t>地刀操作孔</w:t>
      </w:r>
      <w:r>
        <w:t>联锁板</w:t>
      </w:r>
    </w:p>
    <w:p w14:paraId="632058F8">
      <w:pPr>
        <w:pStyle w:val="8"/>
        <w:ind w:firstLine="480"/>
      </w:pPr>
      <w:r>
        <w:rPr>
          <w:rFonts w:hint="eastAsia"/>
        </w:rPr>
        <w:t>防止带电合地刀</w:t>
      </w:r>
      <w:r>
        <w:rPr>
          <w:rFonts w:hint="eastAsia" w:ascii="仿宋" w:hAnsi="仿宋"/>
        </w:rPr>
        <w:t>：当断路器处于合闸或手车处于工作位置（回路可能带电）时，联锁板受内部机构顶住无法拨开</w:t>
      </w:r>
      <w:r>
        <w:t>/复位，物理阻挡操作手柄插入，杜绝带电挂接地线事故。</w:t>
      </w:r>
    </w:p>
    <w:p w14:paraId="04398A17">
      <w:pPr>
        <w:pStyle w:val="8"/>
        <w:ind w:firstLine="480"/>
        <w:rPr>
          <w:rFonts w:ascii="仿宋" w:hAnsi="仿宋"/>
        </w:rPr>
      </w:pPr>
      <w:r>
        <w:rPr>
          <w:rFonts w:hint="eastAsia"/>
        </w:rPr>
        <w:t>防止带地刀送电</w:t>
      </w:r>
      <w:r>
        <w:rPr>
          <w:rFonts w:hint="eastAsia" w:ascii="仿宋" w:hAnsi="仿宋"/>
        </w:rPr>
        <w:t>：当地刀处于合闸状态时，联锁板保持遮挡或锁定状态，阻止手车摇进至工作位置或断路器合闸，避免带接地线合闸送电。</w:t>
      </w:r>
    </w:p>
    <w:p w14:paraId="2A0BECBE">
      <w:pPr>
        <w:pStyle w:val="8"/>
        <w:ind w:firstLine="480"/>
        <w:rPr>
          <w:rFonts w:ascii="仿宋" w:hAnsi="仿宋"/>
        </w:rPr>
      </w:pPr>
      <w:r>
        <w:rPr>
          <w:rFonts w:hint="eastAsia"/>
        </w:rPr>
        <w:t>状态指示与互锁联动</w:t>
      </w:r>
      <w:r>
        <w:rPr>
          <w:rFonts w:hint="eastAsia" w:ascii="仿宋" w:hAnsi="仿宋"/>
        </w:rPr>
        <w:t>：联锁板的复位与否直观反映地刀分合状态，并与柜门、手车位置形成机械互锁链（如地刀未分闸则联锁板不复位，手车无法摇进）。</w:t>
      </w:r>
    </w:p>
    <w:p w14:paraId="79EBA32A">
      <w:pPr>
        <w:pStyle w:val="8"/>
        <w:ind w:firstLine="480"/>
      </w:pPr>
      <w:r>
        <w:rPr>
          <w:rFonts w:hint="eastAsia"/>
        </w:rPr>
        <w:t>确认断路器分闸且手车拉至试验</w:t>
      </w:r>
      <w:r>
        <w:t>/移出位置</w:t>
      </w:r>
      <w:r>
        <w:rPr>
          <w:rFonts w:hint="eastAsia"/>
        </w:rPr>
        <w:t>→</w:t>
      </w:r>
      <w:r>
        <w:t>联锁板自动复位或可手动拨开</w:t>
      </w:r>
      <w:r>
        <w:rPr>
          <w:rFonts w:hint="eastAsia"/>
        </w:rPr>
        <w:t>→</w:t>
      </w:r>
      <w:r>
        <w:t>插入</w:t>
      </w:r>
      <w:r>
        <w:rPr>
          <w:rFonts w:hint="eastAsia"/>
        </w:rPr>
        <w:t>地刀摇把</w:t>
      </w:r>
      <w:r>
        <w:t>操作。</w:t>
      </w:r>
    </w:p>
    <w:p w14:paraId="174D3730">
      <w:pPr>
        <w:pStyle w:val="3"/>
      </w:pPr>
      <w:r>
        <w:rPr>
          <w:rFonts w:hint="eastAsia"/>
        </w:rPr>
        <w:t>急停按钮</w:t>
      </w:r>
    </w:p>
    <w:p w14:paraId="347F19CC">
      <w:pPr>
        <w:pStyle w:val="26"/>
      </w:pPr>
      <w:r>
        <w:drawing>
          <wp:inline distT="0" distB="0" distL="0" distR="0">
            <wp:extent cx="2858770" cy="1799590"/>
            <wp:effectExtent l="0" t="0" r="6350" b="139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2858824" cy="1800000"/>
                    </a:xfrm>
                    <a:prstGeom prst="rect">
                      <a:avLst/>
                    </a:prstGeom>
                  </pic:spPr>
                </pic:pic>
              </a:graphicData>
            </a:graphic>
          </wp:inline>
        </w:drawing>
      </w:r>
    </w:p>
    <w:p w14:paraId="78E545E6">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8</w:t>
      </w:r>
      <w:r>
        <w:fldChar w:fldCharType="end"/>
      </w:r>
      <w:r>
        <w:rPr>
          <w:rFonts w:hint="eastAsia"/>
        </w:rPr>
        <w:t>急停按钮（紧急分闸装置）</w:t>
      </w:r>
    </w:p>
    <w:p w14:paraId="7914D44D">
      <w:pPr>
        <w:pStyle w:val="8"/>
        <w:ind w:firstLine="480"/>
      </w:pPr>
      <w:r>
        <w:rPr>
          <w:rFonts w:hint="eastAsia"/>
        </w:rPr>
        <w:t>“紧急分闸装置”常指</w:t>
      </w:r>
      <w:r>
        <w:rPr>
          <w:rFonts w:hint="eastAsia" w:ascii="仿宋" w:hAnsi="仿宋"/>
        </w:rPr>
        <w:t>无需拉出手车、透过柜门小孔操作的机械传动机构，此为非标或定制配置</w:t>
      </w:r>
      <w:r>
        <w:t>。</w:t>
      </w:r>
    </w:p>
    <w:p w14:paraId="1E9FD693">
      <w:pPr>
        <w:pStyle w:val="8"/>
        <w:ind w:firstLine="480"/>
        <w:rPr>
          <w:rFonts w:ascii="仿宋" w:hAnsi="仿宋"/>
        </w:rPr>
      </w:pPr>
      <w:r>
        <w:t>P</w:t>
      </w:r>
      <w:r>
        <w:rPr>
          <w:rFonts w:hint="eastAsia"/>
        </w:rPr>
        <w:t>s：中置柜</w:t>
      </w:r>
      <w:r>
        <w:rPr>
          <w:rFonts w:hint="eastAsia" w:ascii="仿宋" w:hAnsi="仿宋"/>
        </w:rPr>
        <w:t>并非全部标配独立的“紧急分合闸装置”，但必须具备在控制电源失电或电气故障时进行手动机械分闸的功能（通常通过手车面板按钮或外部机械传动实现）。部分急停按钮是使用</w:t>
      </w:r>
      <w:r>
        <w:rPr>
          <w:rFonts w:hint="eastAsia" w:ascii="仿宋" w:hAnsi="仿宋"/>
          <w:lang w:eastAsia="zh-CN"/>
        </w:rPr>
        <w:t>插销</w:t>
      </w:r>
      <w:r>
        <w:rPr>
          <w:rFonts w:hint="eastAsia" w:ascii="仿宋" w:hAnsi="仿宋"/>
        </w:rPr>
        <w:t>限位作为误操作保护的急停按钮，避免急停误操作。</w:t>
      </w:r>
    </w:p>
    <w:p w14:paraId="2615FB05">
      <w:pPr>
        <w:pStyle w:val="26"/>
      </w:pPr>
      <w:r>
        <w:drawing>
          <wp:inline distT="0" distB="0" distL="0" distR="0">
            <wp:extent cx="2416810" cy="1799590"/>
            <wp:effectExtent l="0" t="0" r="6350" b="139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a:stretch>
                      <a:fillRect/>
                    </a:stretch>
                  </pic:blipFill>
                  <pic:spPr>
                    <a:xfrm>
                      <a:off x="0" y="0"/>
                      <a:ext cx="2417143" cy="1800000"/>
                    </a:xfrm>
                    <a:prstGeom prst="rect">
                      <a:avLst/>
                    </a:prstGeom>
                  </pic:spPr>
                </pic:pic>
              </a:graphicData>
            </a:graphic>
          </wp:inline>
        </w:drawing>
      </w:r>
    </w:p>
    <w:p w14:paraId="10756616">
      <w:pPr>
        <w:pStyle w:val="26"/>
        <w:bidi w:val="0"/>
      </w:pPr>
      <w:r>
        <w:t xml:space="preserve">图 </w:t>
      </w:r>
      <w:r>
        <w:fldChar w:fldCharType="begin"/>
      </w:r>
      <w:r>
        <w:instrText xml:space="preserve"> STYLEREF 1 \s </w:instrText>
      </w:r>
      <w:r>
        <w:fldChar w:fldCharType="separate"/>
      </w:r>
      <w:r>
        <w:t>3</w:t>
      </w:r>
      <w:r>
        <w:fldChar w:fldCharType="end"/>
      </w:r>
      <w:r>
        <w:rPr>
          <w:rFonts w:hint="eastAsia"/>
          <w:lang w:eastAsia="zh-CN"/>
        </w:rPr>
        <w:t>-</w:t>
      </w:r>
      <w:r>
        <w:fldChar w:fldCharType="begin"/>
      </w:r>
      <w:r>
        <w:instrText xml:space="preserve"> SEQ 图 \* ARABIC \s 1 </w:instrText>
      </w:r>
      <w:r>
        <w:fldChar w:fldCharType="separate"/>
      </w:r>
      <w:r>
        <w:t>9</w:t>
      </w:r>
      <w:r>
        <w:fldChar w:fldCharType="end"/>
      </w:r>
      <w:r>
        <w:rPr>
          <w:rFonts w:hint="eastAsia"/>
          <w:lang w:eastAsia="zh-CN"/>
        </w:rPr>
        <w:t>插销</w:t>
      </w:r>
      <w:r>
        <w:rPr>
          <w:rFonts w:hint="eastAsia"/>
        </w:rPr>
        <w:t>急停按钮</w:t>
      </w:r>
    </w:p>
    <w:p w14:paraId="74620161">
      <w:pPr>
        <w:pStyle w:val="2"/>
        <w:bidi w:val="0"/>
      </w:pPr>
      <w:r>
        <w:rPr>
          <w:rFonts w:hint="eastAsia"/>
        </w:rPr>
        <w:t>工具用途</w:t>
      </w:r>
    </w:p>
    <w:p w14:paraId="6EDBE16B">
      <w:pPr>
        <w:pStyle w:val="3"/>
        <w:bidi w:val="0"/>
      </w:pPr>
      <w:r>
        <w:rPr>
          <w:rFonts w:hint="eastAsia"/>
        </w:rPr>
        <w:t>手车摇把</w:t>
      </w:r>
    </w:p>
    <w:p w14:paraId="0463B764">
      <w:pPr>
        <w:pStyle w:val="26"/>
      </w:pPr>
      <w:r>
        <w:drawing>
          <wp:inline distT="0" distB="0" distL="114300" distR="114300">
            <wp:extent cx="3133725" cy="1900555"/>
            <wp:effectExtent l="0" t="0" r="5715" b="444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1"/>
                    <a:stretch>
                      <a:fillRect/>
                    </a:stretch>
                  </pic:blipFill>
                  <pic:spPr>
                    <a:xfrm>
                      <a:off x="0" y="0"/>
                      <a:ext cx="3133725" cy="1900555"/>
                    </a:xfrm>
                    <a:prstGeom prst="rect">
                      <a:avLst/>
                    </a:prstGeom>
                    <a:noFill/>
                    <a:ln>
                      <a:noFill/>
                    </a:ln>
                  </pic:spPr>
                </pic:pic>
              </a:graphicData>
            </a:graphic>
          </wp:inline>
        </w:drawing>
      </w:r>
      <w:r>
        <w:drawing>
          <wp:inline distT="0" distB="0" distL="114300" distR="114300">
            <wp:extent cx="981710" cy="1901825"/>
            <wp:effectExtent l="0" t="0" r="8890" b="31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2"/>
                    <a:stretch>
                      <a:fillRect/>
                    </a:stretch>
                  </pic:blipFill>
                  <pic:spPr>
                    <a:xfrm>
                      <a:off x="0" y="0"/>
                      <a:ext cx="981710" cy="1901825"/>
                    </a:xfrm>
                    <a:prstGeom prst="rect">
                      <a:avLst/>
                    </a:prstGeom>
                    <a:noFill/>
                    <a:ln>
                      <a:noFill/>
                    </a:ln>
                  </pic:spPr>
                </pic:pic>
              </a:graphicData>
            </a:graphic>
          </wp:inline>
        </w:drawing>
      </w:r>
    </w:p>
    <w:p w14:paraId="007F3200">
      <w:pPr>
        <w:pStyle w:val="26"/>
        <w:bidi w:val="0"/>
      </w:pPr>
      <w:r>
        <w:t xml:space="preserve">图 </w:t>
      </w:r>
      <w:r>
        <w:fldChar w:fldCharType="begin"/>
      </w:r>
      <w:r>
        <w:instrText xml:space="preserve"> STYLEREF 1 \s </w:instrText>
      </w:r>
      <w:r>
        <w:fldChar w:fldCharType="separate"/>
      </w:r>
      <w:r>
        <w:t>4</w:t>
      </w:r>
      <w:r>
        <w:fldChar w:fldCharType="end"/>
      </w:r>
      <w:r>
        <w:rPr>
          <w:rFonts w:hint="eastAsia"/>
          <w:lang w:eastAsia="zh-CN"/>
        </w:rPr>
        <w:t>-</w:t>
      </w:r>
      <w:r>
        <w:fldChar w:fldCharType="begin"/>
      </w:r>
      <w:r>
        <w:instrText xml:space="preserve"> SEQ 图 \* ARABIC \s 1 </w:instrText>
      </w:r>
      <w:r>
        <w:fldChar w:fldCharType="separate"/>
      </w:r>
      <w:r>
        <w:t>1</w:t>
      </w:r>
      <w:r>
        <w:fldChar w:fldCharType="end"/>
      </w:r>
      <w:r>
        <w:rPr>
          <w:rFonts w:hint="eastAsia"/>
        </w:rPr>
        <w:t>手车摇把</w:t>
      </w:r>
    </w:p>
    <w:p w14:paraId="2AADE618">
      <w:pPr>
        <w:ind w:firstLine="480"/>
      </w:pPr>
      <w:r>
        <w:rPr>
          <w:rFonts w:hint="eastAsia"/>
        </w:rPr>
        <w:t>手车摇把（</w:t>
      </w:r>
      <w:r>
        <w:t>手车进出专用摇把</w:t>
      </w:r>
      <w:r>
        <w:rPr>
          <w:rFonts w:hint="eastAsia"/>
        </w:rPr>
        <w:t>），</w:t>
      </w:r>
      <w:r>
        <w:t>用于在分闸状态下通过旋转丝杆机构，将断路器手车在“工作位置”与“试验/检修位置”之间安全移入或移出，实现一次回路物理隔离及二次回路通断切换。</w:t>
      </w:r>
    </w:p>
    <w:p w14:paraId="1452FDC6">
      <w:pPr>
        <w:ind w:firstLine="480"/>
      </w:pPr>
      <w:r>
        <w:t>位置转换：顺时针摇动将手车从试验位置推入工作位置（触头闭合，可合闸送电）；</w:t>
      </w:r>
    </w:p>
    <w:p w14:paraId="6C60F41E">
      <w:pPr>
        <w:ind w:firstLine="480"/>
      </w:pPr>
      <w:r>
        <w:t>逆时针摇动将手车从工作位置拉出至试验位置（主回路断开，二次插头可拔，可进行保护传动试验）或完全移出柜外（检修位置）。</w:t>
      </w:r>
    </w:p>
    <w:p w14:paraId="5E822097">
      <w:pPr>
        <w:pStyle w:val="3"/>
      </w:pPr>
      <w:r>
        <w:rPr>
          <w:rFonts w:hint="eastAsia"/>
        </w:rPr>
        <w:t>地刀摇把</w:t>
      </w:r>
    </w:p>
    <w:p w14:paraId="4129227D">
      <w:pPr>
        <w:pStyle w:val="26"/>
      </w:pPr>
      <w:r>
        <w:drawing>
          <wp:inline distT="0" distB="0" distL="114300" distR="114300">
            <wp:extent cx="3837305" cy="1616710"/>
            <wp:effectExtent l="0" t="0" r="3175" b="1397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3"/>
                    <a:srcRect t="7624" r="4254" b="4987"/>
                    <a:stretch>
                      <a:fillRect/>
                    </a:stretch>
                  </pic:blipFill>
                  <pic:spPr>
                    <a:xfrm>
                      <a:off x="0" y="0"/>
                      <a:ext cx="3837305" cy="1616710"/>
                    </a:xfrm>
                    <a:prstGeom prst="rect">
                      <a:avLst/>
                    </a:prstGeom>
                    <a:noFill/>
                    <a:ln>
                      <a:noFill/>
                    </a:ln>
                  </pic:spPr>
                </pic:pic>
              </a:graphicData>
            </a:graphic>
          </wp:inline>
        </w:drawing>
      </w:r>
      <w:r>
        <w:drawing>
          <wp:inline distT="0" distB="0" distL="114300" distR="114300">
            <wp:extent cx="1205865" cy="1615440"/>
            <wp:effectExtent l="0" t="0" r="0" b="0"/>
            <wp:docPr id="10" name="图片 10" descr="去除图片黑色工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去除图片黑色工具"/>
                    <pic:cNvPicPr>
                      <a:picLocks noChangeAspect="1"/>
                    </pic:cNvPicPr>
                  </pic:nvPicPr>
                  <pic:blipFill>
                    <a:blip r:embed="rId24"/>
                    <a:srcRect b="3891"/>
                    <a:stretch>
                      <a:fillRect/>
                    </a:stretch>
                  </pic:blipFill>
                  <pic:spPr>
                    <a:xfrm>
                      <a:off x="0" y="0"/>
                      <a:ext cx="1205865" cy="1615440"/>
                    </a:xfrm>
                    <a:prstGeom prst="rect">
                      <a:avLst/>
                    </a:prstGeom>
                  </pic:spPr>
                </pic:pic>
              </a:graphicData>
            </a:graphic>
          </wp:inline>
        </w:drawing>
      </w:r>
    </w:p>
    <w:p w14:paraId="621CE2E2">
      <w:pPr>
        <w:pStyle w:val="26"/>
        <w:bidi w:val="0"/>
      </w:pPr>
      <w:r>
        <w:t xml:space="preserve">图 </w:t>
      </w:r>
      <w:r>
        <w:fldChar w:fldCharType="begin"/>
      </w:r>
      <w:r>
        <w:instrText xml:space="preserve"> STYLEREF 1 \s </w:instrText>
      </w:r>
      <w:r>
        <w:fldChar w:fldCharType="separate"/>
      </w:r>
      <w:r>
        <w:t>4</w:t>
      </w:r>
      <w:r>
        <w:fldChar w:fldCharType="end"/>
      </w:r>
      <w:r>
        <w:rPr>
          <w:rFonts w:hint="eastAsia"/>
          <w:lang w:eastAsia="zh-CN"/>
        </w:rPr>
        <w:t>-</w:t>
      </w:r>
      <w:r>
        <w:fldChar w:fldCharType="begin"/>
      </w:r>
      <w:r>
        <w:instrText xml:space="preserve"> SEQ 图 \* ARABIC \s 1 </w:instrText>
      </w:r>
      <w:r>
        <w:fldChar w:fldCharType="separate"/>
      </w:r>
      <w:r>
        <w:t>2</w:t>
      </w:r>
      <w:r>
        <w:fldChar w:fldCharType="end"/>
      </w:r>
      <w:r>
        <w:rPr>
          <w:rFonts w:hint="eastAsia"/>
        </w:rPr>
        <w:t>地刀摇把</w:t>
      </w:r>
    </w:p>
    <w:p w14:paraId="0938F144">
      <w:pPr>
        <w:ind w:firstLine="480"/>
      </w:pPr>
      <w:r>
        <w:t>地刀摇把是专用于手动操作接地刀闸（地刀）进行合闸或分闸的专用工具，通过旋转驱动内部机械机构实现安全接地或断开</w:t>
      </w:r>
      <w:r>
        <w:rPr>
          <w:rFonts w:hint="eastAsia"/>
        </w:rPr>
        <w:t>。</w:t>
      </w:r>
    </w:p>
    <w:p w14:paraId="688C662A">
      <w:pPr>
        <w:ind w:firstLine="480"/>
      </w:pPr>
      <w:r>
        <w:t>执行接地操作</w:t>
      </w:r>
      <w:r>
        <w:rPr>
          <w:rFonts w:hint="eastAsia"/>
        </w:rPr>
        <w:t>（合地刀）</w:t>
      </w:r>
      <w:r>
        <w:t>：</w:t>
      </w:r>
      <w:r>
        <w:rPr>
          <w:rFonts w:hint="eastAsia"/>
        </w:rPr>
        <w:t>插入地刀摇把后顺时针旋转（通常</w:t>
      </w:r>
      <w:r>
        <w:t>90°或至限位），使刀闸闭合接地</w:t>
      </w:r>
      <w:r>
        <w:rPr>
          <w:rFonts w:hint="eastAsia"/>
        </w:rPr>
        <w:t>。</w:t>
      </w:r>
      <w:r>
        <w:t>在停电检修时，插入操作孔旋转摇把，强制闭合接地刀闸，将电缆室或母线侧可靠接地，释放残余电荷，防止误送电伤人。</w:t>
      </w:r>
    </w:p>
    <w:p w14:paraId="6D383664">
      <w:pPr>
        <w:ind w:firstLine="480"/>
      </w:pPr>
      <w:r>
        <w:t>解除接地状态</w:t>
      </w:r>
      <w:r>
        <w:rPr>
          <w:rFonts w:hint="eastAsia"/>
        </w:rPr>
        <w:t>（分地刀）</w:t>
      </w:r>
      <w:r>
        <w:t>：</w:t>
      </w:r>
      <w:r>
        <w:rPr>
          <w:rFonts w:hint="eastAsia"/>
        </w:rPr>
        <w:t>插入地刀摇把后逆时针旋转，使刀闸拉开断开。</w:t>
      </w:r>
      <w:r>
        <w:t>检修结束后，反向旋转摇把将地刀分闸，恢复设备绝缘状态，为送电做准备。</w:t>
      </w:r>
    </w:p>
    <w:p w14:paraId="750D425C">
      <w:pPr>
        <w:ind w:firstLine="480"/>
      </w:pPr>
      <w:r>
        <w:rPr>
          <w:rFonts w:hint="eastAsia"/>
        </w:rPr>
        <w:t>Ps：</w:t>
      </w:r>
      <w:r>
        <w:t>部分柜型，储能开关</w:t>
      </w:r>
      <w:r>
        <w:rPr>
          <w:rFonts w:hint="eastAsia"/>
        </w:rPr>
        <w:t>摇把</w:t>
      </w:r>
      <w:r>
        <w:t>与</w:t>
      </w:r>
      <w:r>
        <w:rPr>
          <w:rFonts w:hint="eastAsia"/>
        </w:rPr>
        <w:t>地刀摇把相同。</w:t>
      </w:r>
    </w:p>
    <w:p w14:paraId="256F53D8">
      <w:pPr>
        <w:pStyle w:val="3"/>
      </w:pPr>
      <w:r>
        <w:rPr>
          <w:rFonts w:hint="eastAsia"/>
        </w:rPr>
        <w:t>柜门摇把</w:t>
      </w:r>
    </w:p>
    <w:p w14:paraId="3AF04BC1">
      <w:pPr>
        <w:pStyle w:val="26"/>
      </w:pPr>
      <w:r>
        <w:drawing>
          <wp:inline distT="0" distB="0" distL="114300" distR="114300">
            <wp:extent cx="2007870" cy="1948180"/>
            <wp:effectExtent l="0" t="0" r="3810" b="254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5"/>
                    <a:stretch>
                      <a:fillRect/>
                    </a:stretch>
                  </pic:blipFill>
                  <pic:spPr>
                    <a:xfrm>
                      <a:off x="0" y="0"/>
                      <a:ext cx="2007870" cy="1948180"/>
                    </a:xfrm>
                    <a:prstGeom prst="rect">
                      <a:avLst/>
                    </a:prstGeom>
                    <a:noFill/>
                    <a:ln>
                      <a:noFill/>
                    </a:ln>
                  </pic:spPr>
                </pic:pic>
              </a:graphicData>
            </a:graphic>
          </wp:inline>
        </w:drawing>
      </w:r>
      <w:r>
        <w:drawing>
          <wp:inline distT="0" distB="0" distL="114300" distR="114300">
            <wp:extent cx="1061720" cy="1947545"/>
            <wp:effectExtent l="0" t="0" r="5080" b="317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26"/>
                    <a:stretch>
                      <a:fillRect/>
                    </a:stretch>
                  </pic:blipFill>
                  <pic:spPr>
                    <a:xfrm>
                      <a:off x="0" y="0"/>
                      <a:ext cx="1061720" cy="1947545"/>
                    </a:xfrm>
                    <a:prstGeom prst="rect">
                      <a:avLst/>
                    </a:prstGeom>
                    <a:noFill/>
                    <a:ln>
                      <a:noFill/>
                    </a:ln>
                  </pic:spPr>
                </pic:pic>
              </a:graphicData>
            </a:graphic>
          </wp:inline>
        </w:drawing>
      </w:r>
    </w:p>
    <w:p w14:paraId="2F96ED20">
      <w:pPr>
        <w:pStyle w:val="26"/>
        <w:bidi w:val="0"/>
      </w:pPr>
      <w:r>
        <w:t xml:space="preserve">图 </w:t>
      </w:r>
      <w:r>
        <w:fldChar w:fldCharType="begin"/>
      </w:r>
      <w:r>
        <w:instrText xml:space="preserve"> STYLEREF 1 \s </w:instrText>
      </w:r>
      <w:r>
        <w:fldChar w:fldCharType="separate"/>
      </w:r>
      <w:r>
        <w:t>4</w:t>
      </w:r>
      <w:r>
        <w:fldChar w:fldCharType="end"/>
      </w:r>
      <w:r>
        <w:rPr>
          <w:rFonts w:hint="eastAsia"/>
          <w:lang w:eastAsia="zh-CN"/>
        </w:rPr>
        <w:t>-</w:t>
      </w:r>
      <w:r>
        <w:fldChar w:fldCharType="begin"/>
      </w:r>
      <w:r>
        <w:instrText xml:space="preserve"> SEQ 图 \* ARABIC \s 1 </w:instrText>
      </w:r>
      <w:r>
        <w:fldChar w:fldCharType="separate"/>
      </w:r>
      <w:r>
        <w:t>3</w:t>
      </w:r>
      <w:r>
        <w:fldChar w:fldCharType="end"/>
      </w:r>
      <w:r>
        <w:rPr>
          <w:rFonts w:hint="eastAsia"/>
        </w:rPr>
        <w:t>柜门摇把</w:t>
      </w:r>
    </w:p>
    <w:p w14:paraId="4C13BF70">
      <w:pPr>
        <w:ind w:firstLine="480"/>
      </w:pPr>
      <w:r>
        <w:t>开启柜门：在确认断路器手车处于试验位置或断开位置且接地开关分闸后，使用摇把旋转锁定旋钮，方可打开手车室柜门进行检修或观察。</w:t>
      </w:r>
    </w:p>
    <w:p w14:paraId="2CA40B39">
      <w:pPr>
        <w:ind w:firstLine="480"/>
      </w:pPr>
      <w:r>
        <w:rPr>
          <w:rFonts w:hint="eastAsia"/>
        </w:rPr>
        <w:t>如，可用于手车室操作柜门开启/关闭，手车室柜门一般有3颗螺丝。</w:t>
      </w:r>
    </w:p>
    <w:p w14:paraId="338847CD">
      <w:pPr>
        <w:pStyle w:val="3"/>
      </w:pPr>
      <w:r>
        <w:rPr>
          <w:rFonts w:hint="eastAsia"/>
        </w:rPr>
        <w:t>绝缘手套</w:t>
      </w:r>
    </w:p>
    <w:p w14:paraId="746DB845">
      <w:pPr>
        <w:pStyle w:val="26"/>
      </w:pPr>
      <w:r>
        <w:drawing>
          <wp:inline distT="0" distB="0" distL="0" distR="0">
            <wp:extent cx="1953895" cy="2606040"/>
            <wp:effectExtent l="0" t="0" r="8255"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956961" cy="2609360"/>
                    </a:xfrm>
                    <a:prstGeom prst="rect">
                      <a:avLst/>
                    </a:prstGeom>
                    <a:noFill/>
                    <a:ln>
                      <a:noFill/>
                    </a:ln>
                  </pic:spPr>
                </pic:pic>
              </a:graphicData>
            </a:graphic>
          </wp:inline>
        </w:drawing>
      </w:r>
      <w:r>
        <w:drawing>
          <wp:inline distT="0" distB="0" distL="0" distR="0">
            <wp:extent cx="1506855" cy="260604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8"/>
                    <a:stretch>
                      <a:fillRect/>
                    </a:stretch>
                  </pic:blipFill>
                  <pic:spPr>
                    <a:xfrm>
                      <a:off x="0" y="0"/>
                      <a:ext cx="1507178" cy="2606400"/>
                    </a:xfrm>
                    <a:prstGeom prst="rect">
                      <a:avLst/>
                    </a:prstGeom>
                  </pic:spPr>
                </pic:pic>
              </a:graphicData>
            </a:graphic>
          </wp:inline>
        </w:drawing>
      </w:r>
    </w:p>
    <w:p w14:paraId="065D2762">
      <w:pPr>
        <w:pStyle w:val="26"/>
        <w:bidi w:val="0"/>
      </w:pPr>
      <w:r>
        <w:t xml:space="preserve">图 </w:t>
      </w:r>
      <w:r>
        <w:fldChar w:fldCharType="begin"/>
      </w:r>
      <w:r>
        <w:instrText xml:space="preserve"> STYLEREF 1 \s </w:instrText>
      </w:r>
      <w:r>
        <w:fldChar w:fldCharType="separate"/>
      </w:r>
      <w:r>
        <w:t>4</w:t>
      </w:r>
      <w:r>
        <w:fldChar w:fldCharType="end"/>
      </w:r>
      <w:r>
        <w:rPr>
          <w:rFonts w:hint="eastAsia"/>
          <w:lang w:eastAsia="zh-CN"/>
        </w:rPr>
        <w:t>-</w:t>
      </w:r>
      <w:r>
        <w:fldChar w:fldCharType="begin"/>
      </w:r>
      <w:r>
        <w:instrText xml:space="preserve"> SEQ 图 \* ARABIC \s 1 </w:instrText>
      </w:r>
      <w:r>
        <w:fldChar w:fldCharType="separate"/>
      </w:r>
      <w:r>
        <w:t>4</w:t>
      </w:r>
      <w:r>
        <w:fldChar w:fldCharType="end"/>
      </w:r>
      <w:r>
        <w:rPr>
          <w:rFonts w:hint="eastAsia"/>
        </w:rPr>
        <w:t>绝缘手套</w:t>
      </w:r>
    </w:p>
    <w:p w14:paraId="314B1565">
      <w:pPr>
        <w:pStyle w:val="8"/>
        <w:ind w:firstLine="480"/>
      </w:pPr>
      <w:r>
        <w:t>中置柜（高压开关柜）操作中佩戴绝缘手套，核心目的是防止触电，保障操作人员的人身安全。中置柜内部通常带有高压电，操作过程中存在意外接触带电部件的风险，绝缘手套能有效阻断电流通过人体。</w:t>
      </w:r>
    </w:p>
    <w:p w14:paraId="0D8C04BF">
      <w:pPr>
        <w:pStyle w:val="8"/>
        <w:ind w:firstLine="480"/>
      </w:pPr>
      <w:r>
        <w:rPr>
          <w:rFonts w:hint="eastAsia"/>
        </w:rPr>
        <w:t>隔绝电流路径</w:t>
      </w:r>
      <w:r>
        <w:rPr>
          <w:rFonts w:hint="eastAsia" w:ascii="仿宋" w:hAnsi="仿宋"/>
        </w:rPr>
        <w:t>：绝缘手套由高电阻材料（如橡胶）制成，能在手部与带电体之间建立物理屏障，即使意外触碰裸露导线或带电触头，也能避免电流流经人体形成回路</w:t>
      </w:r>
      <w:r>
        <w:rPr>
          <w:rFonts w:hint="eastAsia"/>
        </w:rPr>
        <w:t>。</w:t>
      </w:r>
    </w:p>
    <w:p w14:paraId="619E1A54">
      <w:pPr>
        <w:pStyle w:val="8"/>
        <w:ind w:firstLine="480"/>
      </w:pPr>
      <w:r>
        <w:rPr>
          <w:rFonts w:hint="eastAsia"/>
        </w:rPr>
        <w:t>防范残余电荷与误通电</w:t>
      </w:r>
      <w:r>
        <w:rPr>
          <w:rFonts w:hint="eastAsia" w:ascii="仿宋" w:hAnsi="仿宋"/>
        </w:rPr>
        <w:t>：即使设备已执行断电操作，电路中仍可能存有残余电荷，或因误操作导致突然送电。佩戴绝缘手套提供了必要的冗余防护，确保在突发情况下操作人员免受电击</w:t>
      </w:r>
      <w:r>
        <w:t>。</w:t>
      </w:r>
    </w:p>
    <w:p w14:paraId="2E7E77F1">
      <w:pPr>
        <w:pStyle w:val="8"/>
        <w:ind w:firstLine="480"/>
      </w:pPr>
      <w:r>
        <w:rPr>
          <w:rFonts w:hint="eastAsia"/>
        </w:rPr>
        <w:t>符合安全规程要求</w:t>
      </w:r>
      <w:r>
        <w:rPr>
          <w:rFonts w:hint="eastAsia" w:ascii="仿宋" w:hAnsi="仿宋"/>
        </w:rPr>
        <w:t>：</w:t>
      </w:r>
      <w:bookmarkStart w:id="0" w:name="OLE_LINK1"/>
      <w:r>
        <w:rPr>
          <w:rFonts w:hint="eastAsia" w:ascii="仿宋" w:hAnsi="仿宋"/>
        </w:rPr>
        <w:t>高压电气作业标准</w:t>
      </w:r>
      <w:bookmarkEnd w:id="0"/>
      <w:r>
        <w:rPr>
          <w:rFonts w:hint="eastAsia" w:ascii="仿宋" w:hAnsi="仿宋"/>
        </w:rPr>
        <w:t>强制要求穿戴绝缘防护用品，这是防</w:t>
      </w:r>
      <w:r>
        <w:rPr>
          <w:rFonts w:hint="eastAsia"/>
        </w:rPr>
        <w:t>止直接触电的基本防护措施，能将人体泄漏电流控制在安全范围内</w:t>
      </w:r>
      <w:r>
        <w:t>。</w:t>
      </w:r>
    </w:p>
    <w:p w14:paraId="69621B98">
      <w:pPr>
        <w:pStyle w:val="8"/>
        <w:ind w:firstLine="480"/>
      </w:pPr>
      <w:r>
        <w:t>P</w:t>
      </w:r>
      <w:r>
        <w:rPr>
          <w:rFonts w:hint="eastAsia"/>
        </w:rPr>
        <w:t>s：人员操作时，需穿戴绝缘手套、绝缘靴、工作帽。</w:t>
      </w:r>
    </w:p>
    <w:p w14:paraId="438BC138">
      <w:pPr>
        <w:pStyle w:val="3"/>
      </w:pPr>
      <w:r>
        <w:rPr>
          <w:rFonts w:hint="eastAsia"/>
        </w:rPr>
        <w:t>手车转运车</w:t>
      </w:r>
    </w:p>
    <w:p w14:paraId="7DA3F0C1">
      <w:pPr>
        <w:pStyle w:val="26"/>
      </w:pPr>
      <w:r>
        <w:drawing>
          <wp:inline distT="0" distB="0" distL="0" distR="0">
            <wp:extent cx="2270760" cy="3101340"/>
            <wp:effectExtent l="0" t="0" r="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2272194" cy="3103484"/>
                    </a:xfrm>
                    <a:prstGeom prst="rect">
                      <a:avLst/>
                    </a:prstGeom>
                  </pic:spPr>
                </pic:pic>
              </a:graphicData>
            </a:graphic>
          </wp:inline>
        </w:drawing>
      </w:r>
      <w:r>
        <w:drawing>
          <wp:inline distT="0" distB="0" distL="0" distR="0">
            <wp:extent cx="1554480" cy="3102610"/>
            <wp:effectExtent l="0" t="0" r="762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rcRect l="2391"/>
                    <a:stretch>
                      <a:fillRect/>
                    </a:stretch>
                  </pic:blipFill>
                  <pic:spPr>
                    <a:xfrm>
                      <a:off x="0" y="0"/>
                      <a:ext cx="1555321" cy="3103200"/>
                    </a:xfrm>
                    <a:prstGeom prst="rect">
                      <a:avLst/>
                    </a:prstGeom>
                    <a:ln>
                      <a:noFill/>
                    </a:ln>
                  </pic:spPr>
                </pic:pic>
              </a:graphicData>
            </a:graphic>
          </wp:inline>
        </w:drawing>
      </w:r>
    </w:p>
    <w:p w14:paraId="602EC60A">
      <w:pPr>
        <w:pStyle w:val="26"/>
        <w:bidi w:val="0"/>
      </w:pPr>
      <w:r>
        <w:t xml:space="preserve">图 </w:t>
      </w:r>
      <w:r>
        <w:fldChar w:fldCharType="begin"/>
      </w:r>
      <w:r>
        <w:instrText xml:space="preserve"> STYLEREF 1 \s </w:instrText>
      </w:r>
      <w:r>
        <w:fldChar w:fldCharType="separate"/>
      </w:r>
      <w:r>
        <w:t>4</w:t>
      </w:r>
      <w:r>
        <w:fldChar w:fldCharType="end"/>
      </w:r>
      <w:r>
        <w:rPr>
          <w:rFonts w:hint="eastAsia"/>
          <w:lang w:eastAsia="zh-CN"/>
        </w:rPr>
        <w:t>-</w:t>
      </w:r>
      <w:r>
        <w:fldChar w:fldCharType="begin"/>
      </w:r>
      <w:r>
        <w:instrText xml:space="preserve"> SEQ 图 \* ARABIC \s 1 </w:instrText>
      </w:r>
      <w:r>
        <w:fldChar w:fldCharType="separate"/>
      </w:r>
      <w:r>
        <w:t>5</w:t>
      </w:r>
      <w:r>
        <w:fldChar w:fldCharType="end"/>
      </w:r>
      <w:r>
        <w:rPr>
          <w:rFonts w:hint="eastAsia"/>
        </w:rPr>
        <w:t>手车转运车</w:t>
      </w:r>
    </w:p>
    <w:p w14:paraId="4FAAAE89">
      <w:pPr>
        <w:pStyle w:val="8"/>
        <w:ind w:firstLine="480"/>
      </w:pPr>
      <w:r>
        <w:rPr>
          <w:rFonts w:hint="eastAsia"/>
        </w:rPr>
        <w:t>手车转运车，由</w:t>
      </w:r>
      <w:r>
        <w:rPr>
          <w:rFonts w:hint="eastAsia" w:ascii="仿宋" w:hAnsi="仿宋"/>
        </w:rPr>
        <w:t>框架、滚轮（常为万向轮）、定位销、推拉</w:t>
      </w:r>
      <w:r>
        <w:rPr>
          <w:rFonts w:hint="eastAsia"/>
        </w:rPr>
        <w:t>手柄</w:t>
      </w:r>
      <w:r>
        <w:rPr>
          <w:rFonts w:hint="eastAsia" w:ascii="仿宋" w:hAnsi="仿宋"/>
        </w:rPr>
        <w:t>及高度调节机构组成</w:t>
      </w:r>
      <w:r>
        <w:rPr>
          <w:rFonts w:hint="eastAsia"/>
        </w:rPr>
        <w:t>。</w:t>
      </w:r>
    </w:p>
    <w:p w14:paraId="503694BA">
      <w:pPr>
        <w:pStyle w:val="8"/>
        <w:ind w:firstLine="480"/>
      </w:pPr>
      <w:r>
        <w:rPr>
          <w:rFonts w:hint="eastAsia"/>
        </w:rPr>
        <w:t>搬运转移</w:t>
      </w:r>
      <w:r>
        <w:rPr>
          <w:rFonts w:hint="eastAsia" w:ascii="仿宋" w:hAnsi="仿宋"/>
        </w:rPr>
        <w:t>：将沉重的断路器、</w:t>
      </w:r>
      <w:r>
        <w:t>PT、隔离等功能手车从开关柜内拉出后，承载其移动至检修位置</w:t>
      </w:r>
      <w:r>
        <w:rPr>
          <w:rFonts w:hint="eastAsia"/>
        </w:rPr>
        <w:t>。</w:t>
      </w:r>
    </w:p>
    <w:p w14:paraId="303AEE4D">
      <w:pPr>
        <w:pStyle w:val="8"/>
        <w:ind w:firstLine="480"/>
        <w:rPr>
          <w:rFonts w:ascii="仿宋" w:hAnsi="仿宋"/>
        </w:rPr>
      </w:pPr>
      <w:r>
        <w:rPr>
          <w:rFonts w:hint="eastAsia"/>
        </w:rPr>
        <w:t>地面推行</w:t>
      </w:r>
      <w:r>
        <w:rPr>
          <w:rFonts w:hint="eastAsia" w:ascii="仿宋" w:hAnsi="仿宋"/>
        </w:rPr>
        <w:t>：利用自带滚轮和手柄，使手车在地面灵活移动，便于存放、测试或更换，无需持续占用起重设备。</w:t>
      </w:r>
    </w:p>
    <w:p w14:paraId="48BC35B9">
      <w:pPr>
        <w:pStyle w:val="8"/>
        <w:ind w:firstLine="480"/>
        <w:rPr>
          <w:rFonts w:hint="eastAsia" w:ascii="仿宋" w:hAnsi="仿宋"/>
        </w:rPr>
      </w:pPr>
      <w:r>
        <w:rPr>
          <w:rFonts w:hint="eastAsia"/>
        </w:rPr>
        <w:t>辅助对位</w:t>
      </w:r>
      <w:r>
        <w:rPr>
          <w:rFonts w:hint="eastAsia" w:ascii="仿宋" w:hAnsi="仿宋"/>
        </w:rPr>
        <w:t>：部分转运车高度可调，辅助将手车精准推入柜体导轨入口，减少安装误差和机械损伤风险。</w:t>
      </w:r>
    </w:p>
    <w:p w14:paraId="37CBEFAC">
      <w:pPr>
        <w:pStyle w:val="2"/>
        <w:bidi w:val="0"/>
        <w:rPr>
          <w:rFonts w:hint="default"/>
          <w:lang w:val="en-US" w:eastAsia="zh-CN"/>
        </w:rPr>
      </w:pPr>
      <w:r>
        <w:rPr>
          <w:rFonts w:hint="eastAsia"/>
          <w:lang w:val="en-US" w:eastAsia="zh-CN"/>
        </w:rPr>
        <w:t>中置柜操作</w:t>
      </w:r>
    </w:p>
    <w:p w14:paraId="5E45C825">
      <w:pPr>
        <w:pStyle w:val="3"/>
        <w:bidi w:val="0"/>
        <w:rPr>
          <w:rFonts w:hint="default"/>
          <w:lang w:val="en-US" w:eastAsia="zh-CN"/>
        </w:rPr>
      </w:pPr>
      <w:r>
        <w:rPr>
          <w:rFonts w:hint="eastAsia"/>
          <w:lang w:val="en-US" w:eastAsia="zh-CN"/>
        </w:rPr>
        <w:t>指示器操作</w:t>
      </w:r>
    </w:p>
    <w:p w14:paraId="15DC3F4C">
      <w:pPr>
        <w:pStyle w:val="26"/>
        <w:bidi w:val="0"/>
        <w:rPr>
          <w:rFonts w:hint="default"/>
          <w:lang w:val="en-US" w:eastAsia="zh-CN"/>
        </w:rPr>
      </w:pPr>
      <w:r>
        <w:rPr>
          <w:rFonts w:hint="default"/>
          <w:lang w:val="en-US" w:eastAsia="zh-CN"/>
        </w:rPr>
        <w:drawing>
          <wp:inline distT="0" distB="0" distL="114300" distR="114300">
            <wp:extent cx="3912235" cy="2888615"/>
            <wp:effectExtent l="0" t="0" r="4445" b="6985"/>
            <wp:docPr id="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2"/>
                    <pic:cNvPicPr>
                      <a:picLocks noChangeAspect="1"/>
                    </pic:cNvPicPr>
                  </pic:nvPicPr>
                  <pic:blipFill>
                    <a:blip r:embed="rId31"/>
                    <a:srcRect l="6245" t="3028" r="5534" b="4551"/>
                    <a:stretch>
                      <a:fillRect/>
                    </a:stretch>
                  </pic:blipFill>
                  <pic:spPr>
                    <a:xfrm>
                      <a:off x="0" y="0"/>
                      <a:ext cx="3912235" cy="2888615"/>
                    </a:xfrm>
                    <a:prstGeom prst="rect">
                      <a:avLst/>
                    </a:prstGeom>
                    <a:noFill/>
                    <a:ln>
                      <a:noFill/>
                    </a:ln>
                  </pic:spPr>
                </pic:pic>
              </a:graphicData>
            </a:graphic>
          </wp:inline>
        </w:drawing>
      </w:r>
    </w:p>
    <w:p w14:paraId="0A28C053">
      <w:pPr>
        <w:pStyle w:val="26"/>
        <w:bidi w:val="0"/>
        <w:rPr>
          <w:rFonts w:hint="default"/>
          <w:lang w:val="en-US" w:eastAsia="zh-CN"/>
        </w:rPr>
      </w:pPr>
      <w:r>
        <w:t xml:space="preserve">图 </w:t>
      </w:r>
      <w:r>
        <w:fldChar w:fldCharType="begin"/>
      </w:r>
      <w:r>
        <w:instrText xml:space="preserve"> STYLEREF 1 \s </w:instrText>
      </w:r>
      <w:r>
        <w:fldChar w:fldCharType="separate"/>
      </w:r>
      <w:r>
        <w:t>5</w:t>
      </w:r>
      <w:r>
        <w:fldChar w:fldCharType="end"/>
      </w:r>
      <w:r>
        <w:rPr>
          <w:rFonts w:hint="eastAsia"/>
          <w:lang w:eastAsia="zh-CN"/>
        </w:rPr>
        <w:t>-</w:t>
      </w:r>
      <w:r>
        <w:fldChar w:fldCharType="begin"/>
      </w:r>
      <w:r>
        <w:instrText xml:space="preserve"> SEQ 图 \* ARABIC \s 1 </w:instrText>
      </w:r>
      <w:r>
        <w:fldChar w:fldCharType="separate"/>
      </w:r>
      <w:r>
        <w:t>1</w:t>
      </w:r>
      <w:r>
        <w:fldChar w:fldCharType="end"/>
      </w:r>
      <w:r>
        <w:rPr>
          <w:rFonts w:hint="eastAsia"/>
          <w:lang w:val="en-US" w:eastAsia="zh-CN"/>
        </w:rPr>
        <w:t>指示器</w:t>
      </w:r>
    </w:p>
    <w:p w14:paraId="7D833458">
      <w:pPr>
        <w:rPr>
          <w:rFonts w:hint="eastAsia"/>
          <w:lang w:val="en-US" w:eastAsia="zh-CN"/>
        </w:rPr>
      </w:pPr>
      <w:r>
        <w:rPr>
          <w:rFonts w:hint="eastAsia"/>
          <w:lang w:val="en-US" w:eastAsia="zh-CN"/>
        </w:rPr>
        <w:t>指示器为可操作显示屏，包含操作按钮、指示灯、显示屏。</w:t>
      </w:r>
    </w:p>
    <w:p w14:paraId="236E8D36">
      <w:pPr>
        <w:rPr>
          <w:rFonts w:hint="default"/>
          <w:lang w:val="en-US" w:eastAsia="zh-CN"/>
        </w:rPr>
      </w:pPr>
      <w:r>
        <w:rPr>
          <w:rFonts w:hint="eastAsia"/>
          <w:lang w:val="en-US" w:eastAsia="zh-CN"/>
        </w:rPr>
        <w:t>对指示器上不同的按钮进行按键操作。</w:t>
      </w:r>
    </w:p>
    <w:p w14:paraId="55C0143C">
      <w:pPr>
        <w:pStyle w:val="3"/>
        <w:bidi w:val="0"/>
        <w:rPr>
          <w:rFonts w:hint="default"/>
          <w:lang w:val="en-US" w:eastAsia="zh-CN"/>
        </w:rPr>
      </w:pPr>
      <w:r>
        <w:rPr>
          <w:rFonts w:hint="eastAsia"/>
          <w:lang w:val="en-US" w:eastAsia="zh-CN"/>
        </w:rPr>
        <w:t>开锁操作</w:t>
      </w:r>
    </w:p>
    <w:p w14:paraId="7143B89F">
      <w:pPr>
        <w:pStyle w:val="26"/>
        <w:bidi w:val="0"/>
        <w:rPr>
          <w:rFonts w:hint="default"/>
          <w:lang w:val="en-US" w:eastAsia="zh-CN"/>
        </w:rPr>
      </w:pPr>
      <w:r>
        <w:rPr>
          <w:rFonts w:hint="default"/>
          <w:lang w:val="en-US" w:eastAsia="zh-CN"/>
        </w:rPr>
        <w:drawing>
          <wp:inline distT="0" distB="0" distL="114300" distR="114300">
            <wp:extent cx="3895090" cy="2423160"/>
            <wp:effectExtent l="0" t="0" r="6350" b="0"/>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32"/>
                    <a:stretch>
                      <a:fillRect/>
                    </a:stretch>
                  </pic:blipFill>
                  <pic:spPr>
                    <a:xfrm>
                      <a:off x="0" y="0"/>
                      <a:ext cx="3895090" cy="2423160"/>
                    </a:xfrm>
                    <a:prstGeom prst="rect">
                      <a:avLst/>
                    </a:prstGeom>
                    <a:noFill/>
                    <a:ln>
                      <a:noFill/>
                    </a:ln>
                  </pic:spPr>
                </pic:pic>
              </a:graphicData>
            </a:graphic>
          </wp:inline>
        </w:drawing>
      </w:r>
    </w:p>
    <w:p w14:paraId="0C58780F">
      <w:pPr>
        <w:pStyle w:val="26"/>
        <w:bidi w:val="0"/>
        <w:rPr>
          <w:rFonts w:hint="default"/>
          <w:lang w:val="en-US" w:eastAsia="zh-CN"/>
        </w:rPr>
      </w:pPr>
      <w:r>
        <w:t xml:space="preserve">图 </w:t>
      </w:r>
      <w:r>
        <w:fldChar w:fldCharType="begin"/>
      </w:r>
      <w:r>
        <w:instrText xml:space="preserve"> STYLEREF 1 \s </w:instrText>
      </w:r>
      <w:r>
        <w:fldChar w:fldCharType="separate"/>
      </w:r>
      <w:r>
        <w:t>5</w:t>
      </w:r>
      <w:r>
        <w:fldChar w:fldCharType="end"/>
      </w:r>
      <w:r>
        <w:rPr>
          <w:rFonts w:hint="eastAsia"/>
          <w:lang w:eastAsia="zh-CN"/>
        </w:rPr>
        <w:t>-</w:t>
      </w:r>
      <w:r>
        <w:fldChar w:fldCharType="begin"/>
      </w:r>
      <w:r>
        <w:instrText xml:space="preserve"> SEQ 图 \* ARABIC \s 1 </w:instrText>
      </w:r>
      <w:r>
        <w:fldChar w:fldCharType="separate"/>
      </w:r>
      <w:r>
        <w:t>2</w:t>
      </w:r>
      <w:r>
        <w:fldChar w:fldCharType="end"/>
      </w:r>
      <w:r>
        <w:rPr>
          <w:rFonts w:hint="eastAsia"/>
          <w:lang w:val="en-US" w:eastAsia="zh-CN"/>
        </w:rPr>
        <w:t>柜面玻璃盖板及机械锁</w:t>
      </w:r>
    </w:p>
    <w:p w14:paraId="44A6CBC9">
      <w:pPr>
        <w:rPr>
          <w:rFonts w:hint="eastAsia"/>
          <w:lang w:val="en-US" w:eastAsia="zh-CN"/>
        </w:rPr>
      </w:pPr>
      <w:r>
        <w:rPr>
          <w:rFonts w:hint="eastAsia"/>
          <w:lang w:val="en-US" w:eastAsia="zh-CN"/>
        </w:rPr>
        <w:t>在手车操作孔、地刀操作孔，会将盖板盖住操作孔，同时挂上机械锁锁住盖板。</w:t>
      </w:r>
    </w:p>
    <w:p w14:paraId="4E7BC3D1">
      <w:pPr>
        <w:rPr>
          <w:rFonts w:hint="default"/>
          <w:lang w:val="en-US" w:eastAsia="zh-CN"/>
        </w:rPr>
      </w:pPr>
      <w:r>
        <w:rPr>
          <w:rFonts w:hint="eastAsia"/>
          <w:lang w:val="en-US" w:eastAsia="zh-CN"/>
        </w:rPr>
        <w:t>Ps：另一种盖板为黑色盖板。</w:t>
      </w:r>
    </w:p>
    <w:p w14:paraId="7584CB1B">
      <w:pPr>
        <w:pStyle w:val="26"/>
        <w:bidi w:val="0"/>
        <w:rPr>
          <w:rFonts w:hint="eastAsia"/>
          <w:lang w:val="en-US" w:eastAsia="zh-CN"/>
        </w:rPr>
      </w:pPr>
      <w:r>
        <w:rPr>
          <w:rFonts w:hint="eastAsia"/>
          <w:lang w:val="en-US" w:eastAsia="zh-CN"/>
        </w:rPr>
        <w:drawing>
          <wp:inline distT="0" distB="0" distL="114300" distR="114300">
            <wp:extent cx="1929765" cy="935990"/>
            <wp:effectExtent l="0" t="0" r="5715" b="8890"/>
            <wp:docPr id="4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6"/>
                    <pic:cNvPicPr>
                      <a:picLocks noChangeAspect="1"/>
                    </pic:cNvPicPr>
                  </pic:nvPicPr>
                  <pic:blipFill>
                    <a:blip r:embed="rId33"/>
                    <a:stretch>
                      <a:fillRect/>
                    </a:stretch>
                  </pic:blipFill>
                  <pic:spPr>
                    <a:xfrm>
                      <a:off x="0" y="0"/>
                      <a:ext cx="1929765" cy="935990"/>
                    </a:xfrm>
                    <a:prstGeom prst="rect">
                      <a:avLst/>
                    </a:prstGeom>
                    <a:noFill/>
                    <a:ln>
                      <a:noFill/>
                    </a:ln>
                  </pic:spPr>
                </pic:pic>
              </a:graphicData>
            </a:graphic>
          </wp:inline>
        </w:drawing>
      </w:r>
      <w:r>
        <w:rPr>
          <w:rFonts w:hint="eastAsia"/>
          <w:lang w:val="en-US" w:eastAsia="zh-CN"/>
        </w:rPr>
        <w:drawing>
          <wp:inline distT="0" distB="0" distL="114300" distR="114300">
            <wp:extent cx="1821180" cy="935990"/>
            <wp:effectExtent l="0" t="0" r="7620" b="8890"/>
            <wp:docPr id="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pic:cNvPicPr>
                      <a:picLocks noChangeAspect="1"/>
                    </pic:cNvPicPr>
                  </pic:nvPicPr>
                  <pic:blipFill>
                    <a:blip r:embed="rId34"/>
                    <a:stretch>
                      <a:fillRect/>
                    </a:stretch>
                  </pic:blipFill>
                  <pic:spPr>
                    <a:xfrm>
                      <a:off x="0" y="0"/>
                      <a:ext cx="1821180" cy="935990"/>
                    </a:xfrm>
                    <a:prstGeom prst="rect">
                      <a:avLst/>
                    </a:prstGeom>
                    <a:noFill/>
                    <a:ln>
                      <a:noFill/>
                    </a:ln>
                  </pic:spPr>
                </pic:pic>
              </a:graphicData>
            </a:graphic>
          </wp:inline>
        </w:drawing>
      </w:r>
    </w:p>
    <w:p w14:paraId="47D3755A">
      <w:pPr>
        <w:pStyle w:val="26"/>
        <w:bidi w:val="0"/>
        <w:rPr>
          <w:rFonts w:hint="default"/>
          <w:lang w:val="en-US" w:eastAsia="zh-CN"/>
        </w:rPr>
      </w:pPr>
      <w:r>
        <w:t xml:space="preserve">图 </w:t>
      </w:r>
      <w:r>
        <w:fldChar w:fldCharType="begin"/>
      </w:r>
      <w:r>
        <w:instrText xml:space="preserve"> STYLEREF 1 \s </w:instrText>
      </w:r>
      <w:r>
        <w:fldChar w:fldCharType="separate"/>
      </w:r>
      <w:r>
        <w:t>5</w:t>
      </w:r>
      <w:r>
        <w:fldChar w:fldCharType="end"/>
      </w:r>
      <w:r>
        <w:rPr>
          <w:rFonts w:hint="eastAsia"/>
          <w:lang w:eastAsia="zh-CN"/>
        </w:rPr>
        <w:t>-</w:t>
      </w:r>
      <w:r>
        <w:fldChar w:fldCharType="begin"/>
      </w:r>
      <w:r>
        <w:instrText xml:space="preserve"> SEQ 图 \* ARABIC \s 1 </w:instrText>
      </w:r>
      <w:r>
        <w:fldChar w:fldCharType="separate"/>
      </w:r>
      <w:r>
        <w:t>3</w:t>
      </w:r>
      <w:r>
        <w:fldChar w:fldCharType="end"/>
      </w:r>
      <w:r>
        <w:rPr>
          <w:rFonts w:hint="eastAsia"/>
          <w:lang w:val="en-US" w:eastAsia="zh-CN"/>
        </w:rPr>
        <w:t>黑色盖板</w:t>
      </w:r>
    </w:p>
    <w:p w14:paraId="191C3B43">
      <w:pPr>
        <w:numPr>
          <w:ilvl w:val="0"/>
          <w:numId w:val="4"/>
        </w:numPr>
        <w:ind w:firstLineChars="0"/>
        <w:rPr>
          <w:rFonts w:hint="eastAsia"/>
          <w:lang w:val="en-US" w:eastAsia="zh-CN"/>
        </w:rPr>
      </w:pPr>
      <w:r>
        <w:rPr>
          <w:rFonts w:hint="eastAsia"/>
          <w:lang w:val="en-US" w:eastAsia="zh-CN"/>
        </w:rPr>
        <w:t>到指定放钥匙位置，按照操作编号或要求，拿起机械锁钥匙。</w:t>
      </w:r>
    </w:p>
    <w:p w14:paraId="064C9E8A">
      <w:pPr>
        <w:numPr>
          <w:ilvl w:val="0"/>
          <w:numId w:val="4"/>
        </w:numPr>
        <w:ind w:firstLineChars="0"/>
        <w:rPr>
          <w:rFonts w:hint="eastAsia"/>
          <w:lang w:val="en-US" w:eastAsia="zh-CN"/>
        </w:rPr>
      </w:pPr>
      <w:r>
        <w:rPr>
          <w:rFonts w:hint="eastAsia"/>
          <w:lang w:val="en-US" w:eastAsia="zh-CN"/>
        </w:rPr>
        <w:t>走到要开锁的柜前，按照操作要求及钥匙对应编号，拿起机械锁。</w:t>
      </w:r>
    </w:p>
    <w:p w14:paraId="5C70E7C0">
      <w:pPr>
        <w:numPr>
          <w:ilvl w:val="0"/>
          <w:numId w:val="4"/>
        </w:numPr>
        <w:ind w:firstLineChars="0"/>
        <w:rPr>
          <w:rFonts w:hint="eastAsia"/>
          <w:lang w:val="en-US" w:eastAsia="zh-CN"/>
        </w:rPr>
      </w:pPr>
      <w:r>
        <w:rPr>
          <w:rFonts w:hint="eastAsia"/>
          <w:lang w:val="en-US" w:eastAsia="zh-CN"/>
        </w:rPr>
        <w:t>将钥匙对准机械锁，旋转钥匙，打开机械锁。</w:t>
      </w:r>
    </w:p>
    <w:p w14:paraId="3342A9CC">
      <w:pPr>
        <w:pStyle w:val="26"/>
        <w:bidi w:val="0"/>
        <w:rPr>
          <w:rFonts w:hint="eastAsia"/>
          <w:lang w:val="en-US" w:eastAsia="zh-CN"/>
        </w:rPr>
      </w:pPr>
      <w:r>
        <w:rPr>
          <w:rFonts w:hint="eastAsia"/>
          <w:lang w:val="en-US" w:eastAsia="zh-CN"/>
        </w:rPr>
        <w:drawing>
          <wp:inline distT="0" distB="0" distL="114300" distR="114300">
            <wp:extent cx="2693035" cy="2317115"/>
            <wp:effectExtent l="0" t="0" r="4445" b="14605"/>
            <wp:docPr id="4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7"/>
                    <pic:cNvPicPr>
                      <a:picLocks noChangeAspect="1"/>
                    </pic:cNvPicPr>
                  </pic:nvPicPr>
                  <pic:blipFill>
                    <a:blip r:embed="rId35"/>
                    <a:stretch>
                      <a:fillRect/>
                    </a:stretch>
                  </pic:blipFill>
                  <pic:spPr>
                    <a:xfrm>
                      <a:off x="0" y="0"/>
                      <a:ext cx="2693035" cy="2317115"/>
                    </a:xfrm>
                    <a:prstGeom prst="rect">
                      <a:avLst/>
                    </a:prstGeom>
                    <a:noFill/>
                    <a:ln>
                      <a:noFill/>
                    </a:ln>
                  </pic:spPr>
                </pic:pic>
              </a:graphicData>
            </a:graphic>
          </wp:inline>
        </w:drawing>
      </w:r>
    </w:p>
    <w:p w14:paraId="60105B88">
      <w:pPr>
        <w:pStyle w:val="26"/>
        <w:bidi w:val="0"/>
        <w:rPr>
          <w:rFonts w:hint="default"/>
          <w:lang w:val="en-US" w:eastAsia="zh-CN"/>
        </w:rPr>
      </w:pPr>
      <w:r>
        <w:t xml:space="preserve">图 </w:t>
      </w:r>
      <w:r>
        <w:fldChar w:fldCharType="begin"/>
      </w:r>
      <w:r>
        <w:instrText xml:space="preserve"> STYLEREF 1 \s </w:instrText>
      </w:r>
      <w:r>
        <w:fldChar w:fldCharType="separate"/>
      </w:r>
      <w:r>
        <w:t>5</w:t>
      </w:r>
      <w:r>
        <w:fldChar w:fldCharType="end"/>
      </w:r>
      <w:r>
        <w:rPr>
          <w:rFonts w:hint="eastAsia"/>
          <w:lang w:eastAsia="zh-CN"/>
        </w:rPr>
        <w:t>-</w:t>
      </w:r>
      <w:r>
        <w:fldChar w:fldCharType="begin"/>
      </w:r>
      <w:r>
        <w:instrText xml:space="preserve"> SEQ 图 \* ARABIC \s 1 </w:instrText>
      </w:r>
      <w:r>
        <w:fldChar w:fldCharType="separate"/>
      </w:r>
      <w:r>
        <w:t>4</w:t>
      </w:r>
      <w:r>
        <w:fldChar w:fldCharType="end"/>
      </w:r>
      <w:r>
        <w:rPr>
          <w:rFonts w:hint="eastAsia"/>
          <w:lang w:val="en-US" w:eastAsia="zh-CN"/>
        </w:rPr>
        <w:t>钥匙开锁</w:t>
      </w:r>
    </w:p>
    <w:p w14:paraId="20D0E369">
      <w:pPr>
        <w:numPr>
          <w:ilvl w:val="0"/>
          <w:numId w:val="4"/>
        </w:numPr>
        <w:ind w:firstLineChars="0"/>
        <w:rPr>
          <w:rFonts w:hint="default"/>
          <w:lang w:val="en-US" w:eastAsia="zh-CN"/>
        </w:rPr>
      </w:pPr>
      <w:r>
        <w:rPr>
          <w:rFonts w:hint="eastAsia"/>
          <w:lang w:val="en-US" w:eastAsia="zh-CN"/>
        </w:rPr>
        <w:t>将机械锁拿下，并打开盖板。</w:t>
      </w:r>
    </w:p>
    <w:p w14:paraId="12E5590E">
      <w:pPr>
        <w:pStyle w:val="3"/>
      </w:pPr>
      <w:r>
        <w:rPr>
          <w:rFonts w:hint="eastAsia"/>
        </w:rPr>
        <w:t>远方控制</w:t>
      </w:r>
    </w:p>
    <w:p w14:paraId="03961727">
      <w:pPr>
        <w:ind w:firstLine="480"/>
      </w:pPr>
      <w:r>
        <w:rPr>
          <w:rFonts w:hint="eastAsia"/>
        </w:rPr>
        <w:t>在电脑端通过远程控制平台对断路器进行远程控制操作。</w:t>
      </w:r>
    </w:p>
    <w:p w14:paraId="3002D4F6">
      <w:pPr>
        <w:ind w:firstLine="480"/>
      </w:pPr>
      <w:r>
        <w:t>【控制室】切换开关打到</w:t>
      </w:r>
      <w:r>
        <w:rPr>
          <w:rFonts w:hint="eastAsia"/>
        </w:rPr>
        <w:t>远方</w:t>
      </w:r>
      <w:r>
        <w:t>状态（切换开关有远方、就地）。</w:t>
      </w:r>
    </w:p>
    <w:p w14:paraId="7E4B62CE">
      <w:pPr>
        <w:pStyle w:val="26"/>
      </w:pPr>
      <w:r>
        <w:drawing>
          <wp:inline distT="0" distB="0" distL="0" distR="0">
            <wp:extent cx="4855845" cy="1422400"/>
            <wp:effectExtent l="0" t="0" r="1905"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6"/>
                    <a:srcRect t="21788"/>
                    <a:stretch>
                      <a:fillRect/>
                    </a:stretch>
                  </pic:blipFill>
                  <pic:spPr>
                    <a:xfrm>
                      <a:off x="0" y="0"/>
                      <a:ext cx="4857143" cy="1422719"/>
                    </a:xfrm>
                    <a:prstGeom prst="rect">
                      <a:avLst/>
                    </a:prstGeom>
                    <a:ln>
                      <a:noFill/>
                    </a:ln>
                  </pic:spPr>
                </pic:pic>
              </a:graphicData>
            </a:graphic>
          </wp:inline>
        </w:drawing>
      </w:r>
    </w:p>
    <w:p w14:paraId="16AAA456">
      <w:pPr>
        <w:pStyle w:val="26"/>
      </w:pPr>
      <w:r>
        <w:rPr>
          <w:rFonts w:hint="eastAsia"/>
        </w:rPr>
        <w:t>切换开关远方状态</w:t>
      </w:r>
    </w:p>
    <w:p w14:paraId="77B0B822">
      <w:pPr>
        <w:ind w:firstLine="480"/>
      </w:pPr>
      <w:r>
        <w:rPr>
          <w:rFonts w:hint="eastAsia"/>
        </w:rPr>
        <w:t>如，</w:t>
      </w:r>
      <w:r>
        <w:t>远程控制</w:t>
      </w:r>
      <w:r>
        <w:rPr>
          <w:rFonts w:hint="eastAsia"/>
        </w:rPr>
        <w:t>时，</w:t>
      </w:r>
      <w:r>
        <w:t>远端人员对断路器进行遥控操作，需2个人员在电脑上同时输入密码，才能对断路器进行操作。</w:t>
      </w:r>
    </w:p>
    <w:p w14:paraId="5194D73A">
      <w:pPr>
        <w:pStyle w:val="3"/>
      </w:pPr>
      <w:r>
        <w:rPr>
          <w:rFonts w:hint="eastAsia"/>
        </w:rPr>
        <w:t>开关转运行</w:t>
      </w:r>
    </w:p>
    <w:p w14:paraId="5611B50B">
      <w:pPr>
        <w:ind w:firstLine="480"/>
      </w:pPr>
      <w:r>
        <w:t>将手车进出专用摇把插入手车底盘操作机构孔内，顺时针转动摇把约20圈，并听到有“咔嗒”声，同时手车明显受阻取下摇把，此时手车处于工作位置(二次插头在手车摇进到工作位置时同时被锁定)，手车一、二次回路接通</w:t>
      </w:r>
      <w:r>
        <w:rPr>
          <w:rFonts w:hint="eastAsia"/>
        </w:rPr>
        <w:t>。</w:t>
      </w:r>
    </w:p>
    <w:p w14:paraId="005B5332">
      <w:pPr>
        <w:pStyle w:val="3"/>
      </w:pPr>
      <w:r>
        <w:rPr>
          <w:rFonts w:hint="eastAsia"/>
        </w:rPr>
        <w:t>停电操作</w:t>
      </w:r>
    </w:p>
    <w:p w14:paraId="4A9363BB">
      <w:pPr>
        <w:numPr>
          <w:ilvl w:val="0"/>
          <w:numId w:val="5"/>
        </w:numPr>
        <w:ind w:firstLineChars="0"/>
      </w:pPr>
      <w:r>
        <w:rPr>
          <w:rFonts w:hint="eastAsia"/>
        </w:rPr>
        <w:t>【控制室】切换开关打到就地状态（切换开关有远方、就地）。</w:t>
      </w:r>
    </w:p>
    <w:p w14:paraId="1365CA1D">
      <w:pPr>
        <w:pStyle w:val="26"/>
      </w:pPr>
      <w:r>
        <w:rPr>
          <w:rFonts w:hint="eastAsia"/>
        </w:rPr>
        <w:drawing>
          <wp:inline distT="0" distB="0" distL="114300" distR="114300">
            <wp:extent cx="5268595" cy="1585595"/>
            <wp:effectExtent l="0" t="0" r="444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7"/>
                    <a:stretch>
                      <a:fillRect/>
                    </a:stretch>
                  </pic:blipFill>
                  <pic:spPr>
                    <a:xfrm>
                      <a:off x="0" y="0"/>
                      <a:ext cx="5268595" cy="1585595"/>
                    </a:xfrm>
                    <a:prstGeom prst="rect">
                      <a:avLst/>
                    </a:prstGeom>
                    <a:noFill/>
                    <a:ln>
                      <a:noFill/>
                    </a:ln>
                  </pic:spPr>
                </pic:pic>
              </a:graphicData>
            </a:graphic>
          </wp:inline>
        </w:drawing>
      </w:r>
    </w:p>
    <w:p w14:paraId="43077FD8">
      <w:pPr>
        <w:numPr>
          <w:ilvl w:val="0"/>
          <w:numId w:val="5"/>
        </w:numPr>
        <w:ind w:firstLineChars="0"/>
      </w:pPr>
      <w:r>
        <w:rPr>
          <w:rFonts w:hint="eastAsia"/>
        </w:rPr>
        <w:t>【控制室】分合闸转换开关（旋钮），朝着分闸（逆时针）方向旋转。</w:t>
      </w:r>
    </w:p>
    <w:p w14:paraId="11C05BFC">
      <w:pPr>
        <w:pStyle w:val="26"/>
      </w:pPr>
      <w:r>
        <w:rPr>
          <w:rFonts w:hint="eastAsia"/>
        </w:rPr>
        <w:drawing>
          <wp:inline distT="0" distB="0" distL="114300" distR="114300">
            <wp:extent cx="5265420" cy="1572260"/>
            <wp:effectExtent l="0" t="0" r="7620" b="1270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8"/>
                    <a:stretch>
                      <a:fillRect/>
                    </a:stretch>
                  </pic:blipFill>
                  <pic:spPr>
                    <a:xfrm>
                      <a:off x="0" y="0"/>
                      <a:ext cx="5265420" cy="1572260"/>
                    </a:xfrm>
                    <a:prstGeom prst="rect">
                      <a:avLst/>
                    </a:prstGeom>
                    <a:noFill/>
                    <a:ln>
                      <a:noFill/>
                    </a:ln>
                  </pic:spPr>
                </pic:pic>
              </a:graphicData>
            </a:graphic>
          </wp:inline>
        </w:drawing>
      </w:r>
    </w:p>
    <w:p w14:paraId="1B959636">
      <w:pPr>
        <w:numPr>
          <w:ilvl w:val="0"/>
          <w:numId w:val="5"/>
        </w:numPr>
        <w:ind w:firstLineChars="0"/>
      </w:pPr>
      <w:r>
        <w:rPr>
          <w:rFonts w:hint="eastAsia"/>
        </w:rPr>
        <w:t>【控制室】检查断路器确认在分位。</w:t>
      </w:r>
    </w:p>
    <w:p w14:paraId="54B049EB">
      <w:pPr>
        <w:pStyle w:val="26"/>
      </w:pPr>
      <w:r>
        <w:drawing>
          <wp:inline distT="0" distB="0" distL="114300" distR="114300">
            <wp:extent cx="1162050" cy="181483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9"/>
                    <a:stretch>
                      <a:fillRect/>
                    </a:stretch>
                  </pic:blipFill>
                  <pic:spPr>
                    <a:xfrm>
                      <a:off x="0" y="0"/>
                      <a:ext cx="1163103" cy="1816678"/>
                    </a:xfrm>
                    <a:prstGeom prst="rect">
                      <a:avLst/>
                    </a:prstGeom>
                    <a:noFill/>
                    <a:ln>
                      <a:noFill/>
                    </a:ln>
                  </pic:spPr>
                </pic:pic>
              </a:graphicData>
            </a:graphic>
          </wp:inline>
        </w:drawing>
      </w:r>
    </w:p>
    <w:p w14:paraId="0A108DF9">
      <w:pPr>
        <w:numPr>
          <w:ilvl w:val="0"/>
          <w:numId w:val="5"/>
        </w:numPr>
        <w:ind w:firstLineChars="0"/>
      </w:pPr>
      <w:r>
        <w:rPr>
          <w:rFonts w:hint="eastAsia"/>
        </w:rPr>
        <w:t>【手车室】开关手车，使用手车摇把进行分闸，按分/逆时针方向旋转手车摇把，</w:t>
      </w:r>
      <w:r>
        <w:t>转动摇把约20圈</w:t>
      </w:r>
      <w:r>
        <w:rPr>
          <w:rFonts w:hint="eastAsia"/>
        </w:rPr>
        <w:t>。</w:t>
      </w:r>
    </w:p>
    <w:p w14:paraId="6D21445B">
      <w:pPr>
        <w:pStyle w:val="26"/>
        <w:rPr>
          <w:rFonts w:hint="eastAsia"/>
        </w:rPr>
      </w:pPr>
      <w:r>
        <w:drawing>
          <wp:inline distT="0" distB="0" distL="0" distR="0">
            <wp:extent cx="1335405" cy="2951480"/>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40"/>
                    <a:stretch>
                      <a:fillRect/>
                    </a:stretch>
                  </pic:blipFill>
                  <pic:spPr>
                    <a:xfrm>
                      <a:off x="0" y="0"/>
                      <a:ext cx="1335894" cy="2952000"/>
                    </a:xfrm>
                    <a:prstGeom prst="rect">
                      <a:avLst/>
                    </a:prstGeom>
                  </pic:spPr>
                </pic:pic>
              </a:graphicData>
            </a:graphic>
          </wp:inline>
        </w:drawing>
      </w:r>
    </w:p>
    <w:p w14:paraId="38233584">
      <w:pPr>
        <w:numPr>
          <w:ilvl w:val="0"/>
          <w:numId w:val="5"/>
        </w:numPr>
        <w:ind w:firstLineChars="0"/>
      </w:pPr>
      <w:r>
        <w:rPr>
          <w:rFonts w:hint="eastAsia"/>
        </w:rPr>
        <w:t>检查手车开关，确认在分位。</w:t>
      </w:r>
    </w:p>
    <w:p w14:paraId="7005F92B">
      <w:pPr>
        <w:pStyle w:val="26"/>
        <w:rPr>
          <w:rFonts w:hint="eastAsia"/>
        </w:rPr>
      </w:pPr>
      <w:r>
        <w:drawing>
          <wp:inline distT="0" distB="0" distL="0" distR="0">
            <wp:extent cx="894715" cy="1570990"/>
            <wp:effectExtent l="0" t="0" r="63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41"/>
                    <a:stretch>
                      <a:fillRect/>
                    </a:stretch>
                  </pic:blipFill>
                  <pic:spPr>
                    <a:xfrm>
                      <a:off x="0" y="0"/>
                      <a:ext cx="895238" cy="1571429"/>
                    </a:xfrm>
                    <a:prstGeom prst="rect">
                      <a:avLst/>
                    </a:prstGeom>
                  </pic:spPr>
                </pic:pic>
              </a:graphicData>
            </a:graphic>
          </wp:inline>
        </w:drawing>
      </w:r>
    </w:p>
    <w:p w14:paraId="39C8DB4D">
      <w:pPr>
        <w:numPr>
          <w:ilvl w:val="0"/>
          <w:numId w:val="5"/>
        </w:numPr>
        <w:ind w:firstLineChars="0"/>
      </w:pPr>
      <w:r>
        <w:rPr>
          <w:rFonts w:hint="eastAsia"/>
        </w:rPr>
        <w:t>【地刀室】压下地刀</w:t>
      </w:r>
      <w:r>
        <w:t>操作孔联锁板</w:t>
      </w:r>
      <w:r>
        <w:rPr>
          <w:rFonts w:hint="eastAsia"/>
        </w:rPr>
        <w:t>。</w:t>
      </w:r>
    </w:p>
    <w:p w14:paraId="1CF22032">
      <w:pPr>
        <w:numPr>
          <w:ilvl w:val="0"/>
          <w:numId w:val="5"/>
        </w:numPr>
        <w:ind w:firstLineChars="0"/>
      </w:pPr>
      <w:r>
        <w:rPr>
          <w:rFonts w:hint="eastAsia"/>
        </w:rPr>
        <w:t>【地刀室】使用地刀工具进行合操作，按合/顺时针方向旋转地刀摇把，直到听到“</w:t>
      </w:r>
      <w:r>
        <w:t>咔嗒</w:t>
      </w:r>
      <w:r>
        <w:rPr>
          <w:rFonts w:hint="eastAsia"/>
        </w:rPr>
        <w:t>”声。</w:t>
      </w:r>
    </w:p>
    <w:p w14:paraId="3AEDCFC9">
      <w:pPr>
        <w:pStyle w:val="26"/>
        <w:rPr>
          <w:rFonts w:hint="eastAsia"/>
        </w:rPr>
      </w:pPr>
      <w:r>
        <w:drawing>
          <wp:inline distT="0" distB="0" distL="0" distR="0">
            <wp:extent cx="2197100" cy="2112645"/>
            <wp:effectExtent l="0" t="0" r="0"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2"/>
                    <a:stretch>
                      <a:fillRect/>
                    </a:stretch>
                  </pic:blipFill>
                  <pic:spPr>
                    <a:xfrm>
                      <a:off x="0" y="0"/>
                      <a:ext cx="2198883" cy="2114491"/>
                    </a:xfrm>
                    <a:prstGeom prst="rect">
                      <a:avLst/>
                    </a:prstGeom>
                  </pic:spPr>
                </pic:pic>
              </a:graphicData>
            </a:graphic>
          </wp:inline>
        </w:drawing>
      </w:r>
    </w:p>
    <w:p w14:paraId="0FC9ED4B">
      <w:pPr>
        <w:numPr>
          <w:ilvl w:val="0"/>
          <w:numId w:val="5"/>
        </w:numPr>
        <w:ind w:firstLineChars="0"/>
      </w:pPr>
      <w:r>
        <w:rPr>
          <w:rFonts w:hint="eastAsia"/>
        </w:rPr>
        <w:t>确认地刀位置，确认在合位（</w:t>
      </w:r>
      <w:r>
        <w:rPr>
          <w:rFonts w:ascii="Arial" w:hAnsi="Arial" w:cs="Arial"/>
          <w:color w:val="333333"/>
          <w:shd w:val="clear" w:color="auto" w:fill="FFFFFF"/>
        </w:rPr>
        <w:t>接地消除残余电荷与感应电压</w:t>
      </w:r>
      <w:r>
        <w:rPr>
          <w:rFonts w:hint="eastAsia" w:ascii="Arial" w:hAnsi="Arial" w:cs="Arial"/>
          <w:color w:val="333333"/>
          <w:shd w:val="clear" w:color="auto" w:fill="FFFFFF"/>
        </w:rPr>
        <w:t>，防止误送电或意外来电伤人</w:t>
      </w:r>
      <w:r>
        <w:rPr>
          <w:rFonts w:hint="eastAsia"/>
        </w:rPr>
        <w:t>）。</w:t>
      </w:r>
    </w:p>
    <w:p w14:paraId="50A10287">
      <w:pPr>
        <w:numPr>
          <w:ilvl w:val="0"/>
          <w:numId w:val="5"/>
        </w:numPr>
        <w:ind w:firstLineChars="0"/>
      </w:pPr>
      <w:r>
        <w:rPr>
          <w:rFonts w:hint="eastAsia"/>
        </w:rPr>
        <w:t>悬挂“在此工作，禁止合闸”指示牌。</w:t>
      </w:r>
    </w:p>
    <w:p w14:paraId="6386B251">
      <w:pPr>
        <w:pStyle w:val="26"/>
        <w:rPr>
          <w:rFonts w:hint="eastAsia"/>
        </w:rPr>
      </w:pPr>
      <w:r>
        <w:drawing>
          <wp:inline distT="0" distB="0" distL="0" distR="0">
            <wp:extent cx="1704340" cy="2951480"/>
            <wp:effectExtent l="0" t="0" r="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3"/>
                    <a:stretch>
                      <a:fillRect/>
                    </a:stretch>
                  </pic:blipFill>
                  <pic:spPr>
                    <a:xfrm>
                      <a:off x="0" y="0"/>
                      <a:ext cx="1704387" cy="2952000"/>
                    </a:xfrm>
                    <a:prstGeom prst="rect">
                      <a:avLst/>
                    </a:prstGeom>
                  </pic:spPr>
                </pic:pic>
              </a:graphicData>
            </a:graphic>
          </wp:inline>
        </w:drawing>
      </w:r>
    </w:p>
    <w:p w14:paraId="4BEADC4B">
      <w:pPr>
        <w:pStyle w:val="3"/>
      </w:pPr>
      <w:r>
        <w:rPr>
          <w:rFonts w:hint="eastAsia"/>
        </w:rPr>
        <w:t>送电操作</w:t>
      </w:r>
    </w:p>
    <w:p w14:paraId="4233AAD1">
      <w:pPr>
        <w:ind w:firstLine="480"/>
        <w:rPr>
          <w:rFonts w:eastAsiaTheme="minorEastAsia"/>
        </w:rPr>
      </w:pPr>
      <w:r>
        <w:rPr>
          <w:rFonts w:hint="eastAsia"/>
        </w:rPr>
        <w:t>送电前提：地刀分闸到位（若地刀未分而主刀合闸，相当于将电源直接通过主触头短接到大地，引发瞬间三相短路，产生巨大电弧能量）→地刀操作孔</w:t>
      </w:r>
      <w:r>
        <w:t>联锁板自动复位遮挡</w:t>
      </w:r>
      <w:r>
        <w:rPr>
          <w:rFonts w:hint="eastAsia"/>
        </w:rPr>
        <w:t>地刀</w:t>
      </w:r>
      <w:r>
        <w:t>操作孔</w:t>
      </w:r>
      <w:r>
        <w:rPr>
          <w:rFonts w:hint="eastAsia"/>
        </w:rPr>
        <w:t>→</w:t>
      </w:r>
      <w:r>
        <w:t>解除手车摇进的机械阻挡</w:t>
      </w:r>
      <w:r>
        <w:rPr>
          <w:rFonts w:hint="eastAsia"/>
        </w:rPr>
        <w:t>→</w:t>
      </w:r>
      <w:r>
        <w:t>允许手车摇入工作位置。</w:t>
      </w:r>
    </w:p>
    <w:p w14:paraId="0C120EA1">
      <w:pPr>
        <w:numPr>
          <w:ilvl w:val="0"/>
          <w:numId w:val="6"/>
        </w:numPr>
        <w:ind w:firstLineChars="0"/>
      </w:pPr>
      <w:r>
        <w:rPr>
          <w:rFonts w:hint="eastAsia"/>
        </w:rPr>
        <w:t>取掉“在此工作，禁止合闸”指示牌。</w:t>
      </w:r>
    </w:p>
    <w:p w14:paraId="2BC7E0C0">
      <w:pPr>
        <w:numPr>
          <w:ilvl w:val="0"/>
          <w:numId w:val="6"/>
        </w:numPr>
        <w:ind w:firstLineChars="0"/>
      </w:pPr>
      <w:r>
        <w:rPr>
          <w:rFonts w:hint="eastAsia"/>
        </w:rPr>
        <w:t>【地刀室】使用地刀工具进行分操作。</w:t>
      </w:r>
    </w:p>
    <w:p w14:paraId="2E05EA50">
      <w:pPr>
        <w:numPr>
          <w:ilvl w:val="0"/>
          <w:numId w:val="6"/>
        </w:numPr>
        <w:ind w:firstLineChars="0"/>
      </w:pPr>
      <w:r>
        <w:rPr>
          <w:rFonts w:hint="eastAsia"/>
        </w:rPr>
        <w:t>【地刀室】检查接地刀，确认在分位。</w:t>
      </w:r>
    </w:p>
    <w:p w14:paraId="33FABA42">
      <w:pPr>
        <w:numPr>
          <w:ilvl w:val="0"/>
          <w:numId w:val="6"/>
        </w:numPr>
        <w:ind w:firstLineChars="0"/>
      </w:pPr>
      <w:r>
        <w:rPr>
          <w:rFonts w:hint="eastAsia"/>
        </w:rPr>
        <w:t>【手车室】使用隔离开关工具进行合操作。</w:t>
      </w:r>
    </w:p>
    <w:p w14:paraId="34C83C7C">
      <w:pPr>
        <w:numPr>
          <w:ilvl w:val="0"/>
          <w:numId w:val="6"/>
        </w:numPr>
        <w:ind w:firstLineChars="0"/>
      </w:pPr>
      <w:r>
        <w:rPr>
          <w:rFonts w:hint="eastAsia"/>
        </w:rPr>
        <w:t>检查隔离开关，确认在合位。</w:t>
      </w:r>
    </w:p>
    <w:p w14:paraId="00C537F8">
      <w:pPr>
        <w:numPr>
          <w:ilvl w:val="0"/>
          <w:numId w:val="6"/>
        </w:numPr>
        <w:ind w:firstLineChars="0"/>
      </w:pPr>
      <w:r>
        <w:rPr>
          <w:rFonts w:hint="eastAsia"/>
        </w:rPr>
        <w:t>【控制室】断路器旋钮开关，旋转合闸。</w:t>
      </w:r>
    </w:p>
    <w:p w14:paraId="1ECC3E5F">
      <w:pPr>
        <w:numPr>
          <w:ilvl w:val="0"/>
          <w:numId w:val="6"/>
        </w:numPr>
        <w:ind w:firstLineChars="0"/>
      </w:pPr>
      <w:r>
        <w:rPr>
          <w:rFonts w:hint="eastAsia"/>
        </w:rPr>
        <w:t>【控制室】检查断路器，确认在合位。</w:t>
      </w:r>
    </w:p>
    <w:p w14:paraId="3CDD3E7E">
      <w:pPr>
        <w:pStyle w:val="3"/>
      </w:pPr>
      <w:r>
        <w:rPr>
          <w:rFonts w:hint="eastAsia"/>
        </w:rPr>
        <w:t>拉出手车</w:t>
      </w:r>
    </w:p>
    <w:p w14:paraId="0EB32A3D">
      <w:pPr>
        <w:numPr>
          <w:ilvl w:val="0"/>
          <w:numId w:val="7"/>
        </w:numPr>
        <w:ind w:firstLineChars="0"/>
      </w:pPr>
      <w:r>
        <w:rPr>
          <w:rFonts w:hint="eastAsia"/>
        </w:rPr>
        <w:t>【控制室】切换开关打到就地状态（切换开关有远方、就地）。</w:t>
      </w:r>
    </w:p>
    <w:p w14:paraId="5DA93C1B">
      <w:pPr>
        <w:numPr>
          <w:ilvl w:val="0"/>
          <w:numId w:val="7"/>
        </w:numPr>
        <w:ind w:firstLineChars="0"/>
        <w:rPr>
          <w:rFonts w:hint="eastAsia"/>
        </w:rPr>
      </w:pPr>
      <w:r>
        <w:rPr>
          <w:rFonts w:hint="eastAsia"/>
        </w:rPr>
        <w:t>【控制室】分合闸转换开关（旋钮），朝着分闸（逆时针）方向旋转。</w:t>
      </w:r>
    </w:p>
    <w:p w14:paraId="0A681E0F">
      <w:pPr>
        <w:numPr>
          <w:ilvl w:val="0"/>
          <w:numId w:val="7"/>
        </w:numPr>
        <w:ind w:firstLineChars="0"/>
      </w:pPr>
      <w:r>
        <w:rPr>
          <w:rFonts w:hint="eastAsia"/>
        </w:rPr>
        <w:t>【控制室】检查断路器确认在分位。</w:t>
      </w:r>
    </w:p>
    <w:p w14:paraId="39EF289B">
      <w:pPr>
        <w:numPr>
          <w:ilvl w:val="0"/>
          <w:numId w:val="7"/>
        </w:numPr>
        <w:ind w:firstLineChars="0"/>
      </w:pPr>
      <w:r>
        <w:rPr>
          <w:rFonts w:hint="eastAsia"/>
        </w:rPr>
        <w:t>【手车室】开关手车，使用手车摇把进行分闸，按分/逆时针方向旋转手车摇把，</w:t>
      </w:r>
      <w:r>
        <w:t>转动摇把约20圈</w:t>
      </w:r>
      <w:r>
        <w:rPr>
          <w:rFonts w:hint="eastAsia"/>
        </w:rPr>
        <w:t>。</w:t>
      </w:r>
    </w:p>
    <w:p w14:paraId="79AF099F">
      <w:pPr>
        <w:numPr>
          <w:ilvl w:val="0"/>
          <w:numId w:val="7"/>
        </w:numPr>
        <w:ind w:firstLineChars="0"/>
        <w:rPr>
          <w:rFonts w:hint="eastAsia"/>
          <w:lang w:eastAsia="zh-CN"/>
        </w:rPr>
      </w:pPr>
      <w:r>
        <w:rPr>
          <w:rFonts w:hint="eastAsia"/>
        </w:rPr>
        <w:t>【手车室】</w:t>
      </w:r>
      <w:r>
        <w:rPr>
          <w:rFonts w:hint="eastAsia"/>
          <w:lang w:eastAsia="zh-CN"/>
        </w:rPr>
        <w:t>使用柜门摇把旋转开启柜门，柜门上设有3颗螺丝，禁止单独将任意一颗螺丝完全拧出，该操作会导致螺丝变形；正确操作顺序为：将螺丝①拧松50%，螺丝②拧松50%，螺丝③拧松100%，再依次拧松螺丝①、螺丝②。</w:t>
      </w:r>
    </w:p>
    <w:p w14:paraId="6D66CCB9">
      <w:pPr>
        <w:pStyle w:val="26"/>
        <w:bidi w:val="0"/>
        <w:rPr>
          <w:rFonts w:hint="eastAsia"/>
          <w:lang w:eastAsia="zh-CN"/>
        </w:rPr>
      </w:pPr>
      <w:r>
        <w:rPr>
          <w:rFonts w:hint="eastAsia"/>
          <w:lang w:eastAsia="zh-CN"/>
        </w:rPr>
        <w:drawing>
          <wp:inline distT="0" distB="0" distL="114300" distR="114300">
            <wp:extent cx="1367155" cy="1943735"/>
            <wp:effectExtent l="0" t="0" r="444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4"/>
                    <a:stretch>
                      <a:fillRect/>
                    </a:stretch>
                  </pic:blipFill>
                  <pic:spPr>
                    <a:xfrm>
                      <a:off x="0" y="0"/>
                      <a:ext cx="1367155" cy="1943735"/>
                    </a:xfrm>
                    <a:prstGeom prst="rect">
                      <a:avLst/>
                    </a:prstGeom>
                    <a:noFill/>
                    <a:ln>
                      <a:noFill/>
                    </a:ln>
                  </pic:spPr>
                </pic:pic>
              </a:graphicData>
            </a:graphic>
          </wp:inline>
        </w:drawing>
      </w:r>
    </w:p>
    <w:p w14:paraId="05D59AFC">
      <w:pPr>
        <w:numPr>
          <w:ilvl w:val="0"/>
          <w:numId w:val="7"/>
        </w:numPr>
        <w:ind w:firstLineChars="0"/>
        <w:rPr>
          <w:rFonts w:hint="eastAsia"/>
          <w:lang w:val="en-US" w:eastAsia="zh-CN"/>
        </w:rPr>
      </w:pPr>
      <w:r>
        <w:rPr>
          <w:rFonts w:hint="eastAsia"/>
          <w:lang w:eastAsia="zh-CN"/>
        </w:rPr>
        <w:t>【手车室】</w:t>
      </w:r>
      <w:r>
        <w:rPr>
          <w:rFonts w:hint="eastAsia"/>
          <w:lang w:val="en-US" w:eastAsia="zh-CN"/>
        </w:rPr>
        <w:t>打开手车室柜门，打开柜门后，可看见手车室内部。</w:t>
      </w:r>
    </w:p>
    <w:p w14:paraId="3BD1F49B">
      <w:pPr>
        <w:pStyle w:val="26"/>
        <w:bidi w:val="0"/>
        <w:rPr>
          <w:rFonts w:hint="default"/>
          <w:lang w:val="en-US" w:eastAsia="zh-CN"/>
        </w:rPr>
      </w:pPr>
      <w:r>
        <w:rPr>
          <w:rFonts w:hint="default"/>
          <w:lang w:val="en-US" w:eastAsia="zh-CN"/>
        </w:rPr>
        <w:drawing>
          <wp:inline distT="0" distB="0" distL="114300" distR="114300">
            <wp:extent cx="1594485" cy="1943735"/>
            <wp:effectExtent l="0" t="0" r="5715" b="698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45"/>
                    <a:stretch>
                      <a:fillRect/>
                    </a:stretch>
                  </pic:blipFill>
                  <pic:spPr>
                    <a:xfrm>
                      <a:off x="0" y="0"/>
                      <a:ext cx="1594485" cy="1943735"/>
                    </a:xfrm>
                    <a:prstGeom prst="rect">
                      <a:avLst/>
                    </a:prstGeom>
                    <a:noFill/>
                    <a:ln>
                      <a:noFill/>
                    </a:ln>
                  </pic:spPr>
                </pic:pic>
              </a:graphicData>
            </a:graphic>
          </wp:inline>
        </w:drawing>
      </w:r>
    </w:p>
    <w:p w14:paraId="08A35429">
      <w:pPr>
        <w:numPr>
          <w:ilvl w:val="0"/>
          <w:numId w:val="7"/>
        </w:numPr>
        <w:ind w:firstLineChars="0"/>
        <w:rPr>
          <w:rFonts w:hint="default"/>
          <w:lang w:val="en-US" w:eastAsia="zh-CN"/>
        </w:rPr>
      </w:pPr>
      <w:r>
        <w:rPr>
          <w:rFonts w:hint="eastAsia"/>
          <w:lang w:val="en-US" w:eastAsia="zh-CN"/>
        </w:rPr>
        <w:t>【手车室内部】拔出开关/断路器二次航空插头。</w:t>
      </w:r>
    </w:p>
    <w:p w14:paraId="0B5470FE">
      <w:pPr>
        <w:pStyle w:val="26"/>
        <w:bidi w:val="0"/>
        <w:rPr>
          <w:rFonts w:hint="eastAsia"/>
          <w:lang w:eastAsia="zh-CN"/>
        </w:rPr>
      </w:pPr>
      <w:r>
        <w:rPr>
          <w:rFonts w:hint="eastAsia"/>
          <w:lang w:eastAsia="zh-CN"/>
        </w:rPr>
        <w:drawing>
          <wp:inline distT="0" distB="0" distL="114300" distR="114300">
            <wp:extent cx="1779270" cy="2303780"/>
            <wp:effectExtent l="0" t="0" r="3810" b="1270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46"/>
                    <a:stretch>
                      <a:fillRect/>
                    </a:stretch>
                  </pic:blipFill>
                  <pic:spPr>
                    <a:xfrm>
                      <a:off x="0" y="0"/>
                      <a:ext cx="1779270" cy="2303780"/>
                    </a:xfrm>
                    <a:prstGeom prst="rect">
                      <a:avLst/>
                    </a:prstGeom>
                    <a:noFill/>
                    <a:ln>
                      <a:noFill/>
                    </a:ln>
                  </pic:spPr>
                </pic:pic>
              </a:graphicData>
            </a:graphic>
          </wp:inline>
        </w:drawing>
      </w:r>
    </w:p>
    <w:p w14:paraId="79B6EA2C">
      <w:pPr>
        <w:numPr>
          <w:ilvl w:val="0"/>
          <w:numId w:val="7"/>
        </w:numPr>
        <w:ind w:firstLineChars="0"/>
        <w:rPr>
          <w:rFonts w:hint="eastAsia"/>
          <w:lang w:val="en-US" w:eastAsia="zh-CN"/>
        </w:rPr>
      </w:pPr>
      <w:r>
        <w:rPr>
          <w:rFonts w:hint="eastAsia"/>
          <w:lang w:val="en-US" w:eastAsia="zh-CN"/>
        </w:rPr>
        <w:t>使用手车转运车，对准手车室，调节手车转运车托盘高度与手车室底部齐平、左右对齐。</w:t>
      </w:r>
    </w:p>
    <w:p w14:paraId="49EDAFD7">
      <w:pPr>
        <w:pStyle w:val="26"/>
        <w:bidi w:val="0"/>
        <w:rPr>
          <w:rFonts w:hint="default"/>
          <w:lang w:val="en-US" w:eastAsia="zh-CN"/>
        </w:rPr>
      </w:pPr>
      <w:r>
        <w:rPr>
          <w:rFonts w:hint="default"/>
          <w:lang w:val="en-US" w:eastAsia="zh-CN"/>
        </w:rPr>
        <w:drawing>
          <wp:inline distT="0" distB="0" distL="114300" distR="114300">
            <wp:extent cx="1855470" cy="2915920"/>
            <wp:effectExtent l="0" t="0" r="3810" b="1016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47"/>
                    <a:stretch>
                      <a:fillRect/>
                    </a:stretch>
                  </pic:blipFill>
                  <pic:spPr>
                    <a:xfrm>
                      <a:off x="0" y="0"/>
                      <a:ext cx="1855470" cy="2915920"/>
                    </a:xfrm>
                    <a:prstGeom prst="rect">
                      <a:avLst/>
                    </a:prstGeom>
                    <a:noFill/>
                    <a:ln>
                      <a:noFill/>
                    </a:ln>
                  </pic:spPr>
                </pic:pic>
              </a:graphicData>
            </a:graphic>
          </wp:inline>
        </w:drawing>
      </w:r>
      <w:r>
        <w:rPr>
          <w:rFonts w:hint="default"/>
          <w:lang w:val="en-US" w:eastAsia="zh-CN"/>
        </w:rPr>
        <w:drawing>
          <wp:inline distT="0" distB="0" distL="114300" distR="114300">
            <wp:extent cx="1772285" cy="2915920"/>
            <wp:effectExtent l="0" t="0" r="10795" b="1016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48"/>
                    <a:stretch>
                      <a:fillRect/>
                    </a:stretch>
                  </pic:blipFill>
                  <pic:spPr>
                    <a:xfrm>
                      <a:off x="0" y="0"/>
                      <a:ext cx="1772285" cy="2915920"/>
                    </a:xfrm>
                    <a:prstGeom prst="rect">
                      <a:avLst/>
                    </a:prstGeom>
                    <a:noFill/>
                    <a:ln>
                      <a:noFill/>
                    </a:ln>
                  </pic:spPr>
                </pic:pic>
              </a:graphicData>
            </a:graphic>
          </wp:inline>
        </w:drawing>
      </w:r>
    </w:p>
    <w:p w14:paraId="2D3D6D06">
      <w:pPr>
        <w:numPr>
          <w:ilvl w:val="0"/>
          <w:numId w:val="7"/>
        </w:numPr>
        <w:ind w:firstLineChars="0"/>
        <w:rPr>
          <w:rFonts w:hint="eastAsia"/>
          <w:lang w:val="en-US" w:eastAsia="zh-CN"/>
        </w:rPr>
      </w:pPr>
      <w:r>
        <w:rPr>
          <w:rFonts w:hint="eastAsia"/>
          <w:lang w:val="en-US" w:eastAsia="zh-CN"/>
        </w:rPr>
        <w:t>用脚抵住手车转运车，使其保持稳定。双手握住手车推拉扶手，向中间拉动扶手解锁插销，随后向外拉动将手车移入手车转运车。</w:t>
      </w:r>
    </w:p>
    <w:p w14:paraId="2C99C14C">
      <w:pPr>
        <w:pStyle w:val="26"/>
        <w:bidi w:val="0"/>
        <w:rPr>
          <w:rFonts w:hint="default"/>
          <w:lang w:val="en-US" w:eastAsia="zh-CN"/>
        </w:rPr>
      </w:pPr>
      <w:r>
        <w:rPr>
          <w:rFonts w:hint="default"/>
          <w:lang w:val="en-US" w:eastAsia="zh-CN"/>
        </w:rPr>
        <w:drawing>
          <wp:inline distT="0" distB="0" distL="114300" distR="114300">
            <wp:extent cx="1595120" cy="3239770"/>
            <wp:effectExtent l="0" t="0" r="5080" b="6350"/>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49"/>
                    <a:stretch>
                      <a:fillRect/>
                    </a:stretch>
                  </pic:blipFill>
                  <pic:spPr>
                    <a:xfrm>
                      <a:off x="0" y="0"/>
                      <a:ext cx="1595120" cy="3239770"/>
                    </a:xfrm>
                    <a:prstGeom prst="rect">
                      <a:avLst/>
                    </a:prstGeom>
                    <a:noFill/>
                    <a:ln>
                      <a:noFill/>
                    </a:ln>
                  </pic:spPr>
                </pic:pic>
              </a:graphicData>
            </a:graphic>
          </wp:inline>
        </w:drawing>
      </w:r>
    </w:p>
    <w:p w14:paraId="4345A199">
      <w:pPr>
        <w:numPr>
          <w:ilvl w:val="0"/>
          <w:numId w:val="7"/>
        </w:numPr>
        <w:ind w:firstLineChars="0"/>
      </w:pPr>
      <w:r>
        <w:rPr>
          <w:rFonts w:hint="eastAsia"/>
          <w:lang w:val="en-US" w:eastAsia="zh-CN"/>
        </w:rPr>
        <w:t>将手车完全拉至手车转运车上后松开手车推拉扶手，此时手车左右侧插销恰好卡入手车转运车的限位孔。</w:t>
      </w:r>
    </w:p>
    <w:p w14:paraId="2950CAA0">
      <w:pPr>
        <w:pStyle w:val="26"/>
        <w:bidi w:val="0"/>
        <w:rPr>
          <w:rFonts w:hint="eastAsia"/>
          <w:lang w:val="en-US" w:eastAsia="zh-CN"/>
        </w:rPr>
      </w:pPr>
      <w:r>
        <w:rPr>
          <w:rFonts w:hint="eastAsia"/>
          <w:lang w:val="en-US" w:eastAsia="zh-CN"/>
        </w:rPr>
        <w:drawing>
          <wp:inline distT="0" distB="0" distL="114300" distR="114300">
            <wp:extent cx="1870075" cy="3239770"/>
            <wp:effectExtent l="0" t="0" r="4445" b="6350"/>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50"/>
                    <a:stretch>
                      <a:fillRect/>
                    </a:stretch>
                  </pic:blipFill>
                  <pic:spPr>
                    <a:xfrm>
                      <a:off x="0" y="0"/>
                      <a:ext cx="1870075" cy="3239770"/>
                    </a:xfrm>
                    <a:prstGeom prst="rect">
                      <a:avLst/>
                    </a:prstGeom>
                    <a:noFill/>
                    <a:ln>
                      <a:noFill/>
                    </a:ln>
                  </pic:spPr>
                </pic:pic>
              </a:graphicData>
            </a:graphic>
          </wp:inline>
        </w:drawing>
      </w:r>
    </w:p>
    <w:p w14:paraId="027293F3">
      <w:pPr>
        <w:numPr>
          <w:ilvl w:val="0"/>
          <w:numId w:val="7"/>
        </w:numPr>
        <w:ind w:firstLineChars="0"/>
        <w:rPr>
          <w:rFonts w:hint="default"/>
          <w:lang w:val="en-US" w:eastAsia="zh-CN"/>
        </w:rPr>
      </w:pPr>
      <w:r>
        <w:rPr>
          <w:rFonts w:hint="eastAsia"/>
          <w:lang w:val="en-US" w:eastAsia="zh-CN"/>
        </w:rPr>
        <w:t>完成手车拉出。</w:t>
      </w:r>
    </w:p>
    <w:p w14:paraId="6C95F079">
      <w:pPr>
        <w:pStyle w:val="3"/>
      </w:pPr>
      <w:r>
        <w:rPr>
          <w:rFonts w:hint="eastAsia"/>
        </w:rPr>
        <w:t>急停操作</w:t>
      </w:r>
    </w:p>
    <w:p w14:paraId="4F373C5B">
      <w:pPr>
        <w:ind w:firstLine="480"/>
      </w:pPr>
      <w:r>
        <w:rPr>
          <w:rFonts w:hint="eastAsia"/>
        </w:rPr>
        <w:t>顺时针旋转紧急分合闸装置外圈旋钮，旋转到位。</w:t>
      </w:r>
    </w:p>
    <w:p w14:paraId="15134634">
      <w:pPr>
        <w:ind w:firstLine="480"/>
      </w:pPr>
      <w:r>
        <w:rPr>
          <w:rFonts w:hint="eastAsia"/>
        </w:rPr>
        <w:t>旋转到位后，按装置中间按钮。</w:t>
      </w:r>
    </w:p>
    <w:p w14:paraId="1F78F5E2">
      <w:pPr>
        <w:ind w:firstLine="480"/>
        <w:rPr>
          <w:rFonts w:hint="eastAsia"/>
        </w:rPr>
      </w:pPr>
      <w:r>
        <w:rPr>
          <w:rFonts w:hint="eastAsia"/>
        </w:rPr>
        <w:t>完成急停。</w:t>
      </w:r>
    </w:p>
    <w:p w14:paraId="7E7DB364">
      <w:pPr>
        <w:pStyle w:val="26"/>
      </w:pPr>
      <w:r>
        <w:drawing>
          <wp:inline distT="0" distB="0" distL="114300" distR="114300">
            <wp:extent cx="5269865" cy="1679575"/>
            <wp:effectExtent l="0" t="0" r="3175" b="1206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1"/>
                    <a:stretch>
                      <a:fillRect/>
                    </a:stretch>
                  </pic:blipFill>
                  <pic:spPr>
                    <a:xfrm>
                      <a:off x="0" y="0"/>
                      <a:ext cx="5269865" cy="1679575"/>
                    </a:xfrm>
                    <a:prstGeom prst="rect">
                      <a:avLst/>
                    </a:prstGeom>
                    <a:noFill/>
                    <a:ln>
                      <a:noFill/>
                    </a:ln>
                  </pic:spPr>
                </pic:pic>
              </a:graphicData>
            </a:graphic>
          </wp:inline>
        </w:drawing>
      </w:r>
    </w:p>
    <w:p w14:paraId="03DBF4C5">
      <w:pPr>
        <w:bidi w:val="0"/>
        <w:rPr>
          <w:rFonts w:hint="eastAsia"/>
        </w:rPr>
      </w:pPr>
    </w:p>
    <w:p w14:paraId="1EA6324F">
      <w:pPr>
        <w:pStyle w:val="2"/>
        <w:bidi w:val="0"/>
        <w:rPr>
          <w:rFonts w:hint="default"/>
          <w:lang w:val="en-US" w:eastAsia="zh-CN"/>
        </w:rPr>
      </w:pPr>
      <w:r>
        <w:rPr>
          <w:rFonts w:hint="eastAsia"/>
          <w:lang w:val="en-US" w:eastAsia="zh-CN"/>
        </w:rPr>
        <w:t>机器人操作条件初理</w:t>
      </w:r>
    </w:p>
    <w:p w14:paraId="1026D3E0">
      <w:pPr>
        <w:pStyle w:val="3"/>
        <w:bidi w:val="0"/>
        <w:rPr>
          <w:rFonts w:hint="eastAsia"/>
          <w:lang w:val="en-US" w:eastAsia="zh-CN"/>
        </w:rPr>
      </w:pPr>
      <w:r>
        <w:rPr>
          <w:rFonts w:hint="eastAsia"/>
          <w:lang w:val="en-US" w:eastAsia="zh-CN"/>
        </w:rPr>
        <w:t>操作指示器</w:t>
      </w:r>
    </w:p>
    <w:p w14:paraId="0CEAD169">
      <w:pPr>
        <w:rPr>
          <w:rFonts w:hint="eastAsia"/>
          <w:lang w:val="en-US" w:eastAsia="zh-CN"/>
        </w:rPr>
      </w:pPr>
      <w:r>
        <w:rPr>
          <w:rFonts w:hint="eastAsia"/>
          <w:lang w:val="en-US" w:eastAsia="zh-CN"/>
        </w:rPr>
        <w:t>机器人通过夹持器或专用按键工具，对按钮进行点对点按键。</w:t>
      </w:r>
    </w:p>
    <w:p w14:paraId="489626C6">
      <w:pPr>
        <w:rPr>
          <w:rFonts w:hint="default"/>
          <w:lang w:val="en-US" w:eastAsia="zh-CN"/>
        </w:rPr>
      </w:pPr>
      <w:r>
        <w:rPr>
          <w:rFonts w:hint="default"/>
          <w:lang w:val="en-US" w:eastAsia="zh-CN"/>
        </w:rPr>
        <w:t>目标较小</w:t>
      </w:r>
      <w:r>
        <w:rPr>
          <w:rFonts w:hint="eastAsia"/>
          <w:lang w:val="en-US" w:eastAsia="zh-CN"/>
        </w:rPr>
        <w:t>（约1cm直径）</w:t>
      </w:r>
      <w:r>
        <w:rPr>
          <w:rFonts w:hint="default"/>
          <w:lang w:val="en-US" w:eastAsia="zh-CN"/>
        </w:rPr>
        <w:t>，机械臂需具备自动纠偏。</w:t>
      </w:r>
    </w:p>
    <w:p w14:paraId="236065A5">
      <w:pPr>
        <w:pStyle w:val="3"/>
        <w:bidi w:val="0"/>
        <w:rPr>
          <w:rFonts w:hint="default"/>
          <w:lang w:val="en-US" w:eastAsia="zh-CN"/>
        </w:rPr>
      </w:pPr>
      <w:r>
        <w:rPr>
          <w:rFonts w:hint="eastAsia"/>
          <w:lang w:val="en-US" w:eastAsia="zh-CN"/>
        </w:rPr>
        <w:t>操作钥匙开锁</w:t>
      </w:r>
    </w:p>
    <w:p w14:paraId="76856C11">
      <w:pPr>
        <w:rPr>
          <w:rFonts w:hint="eastAsia"/>
          <w:lang w:val="en-US" w:eastAsia="zh-CN"/>
        </w:rPr>
      </w:pPr>
      <w:r>
        <w:rPr>
          <w:rFonts w:hint="eastAsia"/>
          <w:lang w:val="en-US" w:eastAsia="zh-CN"/>
        </w:rPr>
        <w:t>机器人行走至指定地点，通过夹持器拿起钥匙。</w:t>
      </w:r>
    </w:p>
    <w:p w14:paraId="086016F3">
      <w:pPr>
        <w:rPr>
          <w:rFonts w:hint="eastAsia"/>
          <w:lang w:val="en-US" w:eastAsia="zh-CN"/>
        </w:rPr>
      </w:pPr>
      <w:r>
        <w:rPr>
          <w:rFonts w:hint="eastAsia"/>
          <w:lang w:val="en-US" w:eastAsia="zh-CN"/>
        </w:rPr>
        <w:t>夹持钥匙到达指定柜前，拿起机械锁。</w:t>
      </w:r>
    </w:p>
    <w:p w14:paraId="1A05C973">
      <w:pPr>
        <w:rPr>
          <w:rFonts w:hint="eastAsia"/>
          <w:lang w:val="en-US" w:eastAsia="zh-CN"/>
        </w:rPr>
      </w:pPr>
      <w:r>
        <w:rPr>
          <w:rFonts w:hint="eastAsia"/>
          <w:lang w:val="en-US" w:eastAsia="zh-CN"/>
        </w:rPr>
        <w:t>用钥匙对准机械锁的缩孔，插入钥匙并旋转钥匙。</w:t>
      </w:r>
    </w:p>
    <w:p w14:paraId="6881F865">
      <w:pPr>
        <w:rPr>
          <w:rFonts w:hint="eastAsia"/>
          <w:lang w:val="en-US" w:eastAsia="zh-CN"/>
        </w:rPr>
      </w:pPr>
      <w:r>
        <w:rPr>
          <w:rFonts w:hint="eastAsia"/>
          <w:lang w:val="en-US" w:eastAsia="zh-CN"/>
        </w:rPr>
        <w:t>完成开锁。</w:t>
      </w:r>
    </w:p>
    <w:p w14:paraId="2CC364DD">
      <w:pPr>
        <w:rPr>
          <w:rFonts w:hint="default"/>
          <w:lang w:val="en-US" w:eastAsia="zh-CN"/>
        </w:rPr>
      </w:pPr>
      <w:r>
        <w:rPr>
          <w:rFonts w:hint="eastAsia"/>
          <w:lang w:val="en-US" w:eastAsia="zh-CN"/>
        </w:rPr>
        <w:t>锁孔</w:t>
      </w:r>
      <w:r>
        <w:rPr>
          <w:rFonts w:hint="default"/>
          <w:lang w:val="en-US" w:eastAsia="zh-CN"/>
        </w:rPr>
        <w:t>目标较小，</w:t>
      </w:r>
      <w:r>
        <w:rPr>
          <w:rFonts w:hint="eastAsia"/>
          <w:lang w:val="en-US" w:eastAsia="zh-CN"/>
        </w:rPr>
        <w:t>需机械臂较高操作精度，</w:t>
      </w:r>
      <w:r>
        <w:rPr>
          <w:rFonts w:hint="default"/>
          <w:lang w:val="en-US" w:eastAsia="zh-CN"/>
        </w:rPr>
        <w:t>机械臂需具备自动纠偏。</w:t>
      </w:r>
    </w:p>
    <w:p w14:paraId="75C81578">
      <w:pPr>
        <w:pStyle w:val="3"/>
        <w:bidi w:val="0"/>
        <w:rPr>
          <w:rFonts w:hint="eastAsia"/>
          <w:lang w:val="en-US" w:eastAsia="zh-CN"/>
        </w:rPr>
      </w:pPr>
      <w:r>
        <w:rPr>
          <w:rFonts w:hint="eastAsia"/>
          <w:lang w:val="en-US" w:eastAsia="zh-CN"/>
        </w:rPr>
        <w:t>操作切换开关</w:t>
      </w:r>
    </w:p>
    <w:p w14:paraId="0E4FD728">
      <w:pPr>
        <w:bidi w:val="0"/>
        <w:rPr>
          <w:rFonts w:hint="eastAsia"/>
        </w:rPr>
      </w:pPr>
      <w:r>
        <w:rPr>
          <w:rFonts w:hint="eastAsia"/>
          <w:lang w:val="en-US" w:eastAsia="zh-CN"/>
        </w:rPr>
        <w:t>切换开关位置是固定的。</w:t>
      </w:r>
    </w:p>
    <w:p w14:paraId="30FAA788">
      <w:pPr>
        <w:bidi w:val="0"/>
        <w:rPr>
          <w:rFonts w:hint="eastAsia"/>
        </w:rPr>
      </w:pPr>
      <w:r>
        <w:rPr>
          <w:rFonts w:hint="eastAsia"/>
        </w:rPr>
        <w:t>机械臂使用夹持器夹持切换开关，按照预设姿态旋转切换开关（机械臂夹持旋转所需力预估小于1kg）。</w:t>
      </w:r>
    </w:p>
    <w:p w14:paraId="174A35EF">
      <w:pPr>
        <w:pStyle w:val="3"/>
        <w:bidi w:val="0"/>
        <w:rPr>
          <w:rFonts w:hint="eastAsia"/>
          <w:lang w:val="en-US" w:eastAsia="zh-CN"/>
        </w:rPr>
      </w:pPr>
      <w:r>
        <w:rPr>
          <w:rFonts w:hint="eastAsia"/>
          <w:lang w:val="en-US" w:eastAsia="zh-CN"/>
        </w:rPr>
        <w:t>操作分合闸转换开关</w:t>
      </w:r>
    </w:p>
    <w:p w14:paraId="01D26F3A">
      <w:pPr>
        <w:bidi w:val="0"/>
        <w:rPr>
          <w:rFonts w:hint="eastAsia"/>
        </w:rPr>
      </w:pPr>
      <w:r>
        <w:rPr>
          <w:rFonts w:hint="eastAsia"/>
          <w:lang w:val="en-US" w:eastAsia="zh-CN"/>
        </w:rPr>
        <w:t>分合闸转换开关位置是固定的。</w:t>
      </w:r>
    </w:p>
    <w:p w14:paraId="0C2A7129">
      <w:pPr>
        <w:bidi w:val="0"/>
        <w:rPr>
          <w:rFonts w:hint="eastAsia"/>
        </w:rPr>
      </w:pPr>
      <w:r>
        <w:rPr>
          <w:rFonts w:hint="eastAsia"/>
        </w:rPr>
        <w:t>机械臂使用夹持器夹持分合闸转换开关，按照预设姿态旋转分合闸转换开关（机械臂夹持旋转所需力预估小于2kg）。</w:t>
      </w:r>
    </w:p>
    <w:p w14:paraId="515EDFEE">
      <w:pPr>
        <w:pStyle w:val="3"/>
        <w:bidi w:val="0"/>
        <w:rPr>
          <w:rFonts w:hint="eastAsia"/>
          <w:lang w:val="en-US" w:eastAsia="zh-CN"/>
        </w:rPr>
      </w:pPr>
      <w:r>
        <w:rPr>
          <w:rFonts w:hint="eastAsia"/>
          <w:lang w:val="en-US" w:eastAsia="zh-CN"/>
        </w:rPr>
        <w:t>螺丝压板操作</w:t>
      </w:r>
    </w:p>
    <w:p w14:paraId="6F0E6942">
      <w:pPr>
        <w:bidi w:val="0"/>
        <w:rPr>
          <w:rFonts w:hint="eastAsia"/>
        </w:rPr>
      </w:pPr>
      <w:r>
        <w:rPr>
          <w:rFonts w:hint="eastAsia"/>
          <w:lang w:val="en-US" w:eastAsia="zh-CN"/>
        </w:rPr>
        <w:t>压板位置是固定的。</w:t>
      </w:r>
    </w:p>
    <w:p w14:paraId="0ECE9EA0">
      <w:pPr>
        <w:bidi w:val="0"/>
        <w:rPr>
          <w:rFonts w:hint="eastAsia"/>
        </w:rPr>
      </w:pPr>
      <w:r>
        <w:rPr>
          <w:rFonts w:hint="eastAsia"/>
        </w:rPr>
        <w:t>机械臂使用夹持器夹持压板上旋钮，按照预设姿态旋转上旋钮至固定旋转圈数至上旋钮松动，夹持器拨动压板断开（机械臂夹持旋转所需力预估小于0.5kg）。</w:t>
      </w:r>
    </w:p>
    <w:p w14:paraId="54F5E293">
      <w:pPr>
        <w:bidi w:val="0"/>
        <w:rPr>
          <w:rFonts w:hint="eastAsia"/>
        </w:rPr>
      </w:pPr>
      <w:r>
        <w:rPr>
          <w:rFonts w:hint="eastAsia"/>
        </w:rPr>
        <w:t>压板复位，需机械臂拨动压板竖直复位，并锁紧上旋钮。</w:t>
      </w:r>
    </w:p>
    <w:p w14:paraId="3B74E509">
      <w:pPr>
        <w:bidi w:val="0"/>
        <w:rPr>
          <w:rFonts w:hint="eastAsia"/>
        </w:rPr>
      </w:pPr>
      <w:r>
        <w:rPr>
          <w:rFonts w:hint="eastAsia"/>
          <w:lang w:val="en-US" w:eastAsia="zh-CN"/>
        </w:rPr>
        <w:t>压板目标较小，机械臂需具备自动纠偏。</w:t>
      </w:r>
    </w:p>
    <w:p w14:paraId="7CD0D13A">
      <w:pPr>
        <w:pStyle w:val="3"/>
        <w:bidi w:val="0"/>
        <w:rPr>
          <w:rFonts w:hint="eastAsia"/>
          <w:lang w:val="en-US" w:eastAsia="zh-CN"/>
        </w:rPr>
      </w:pPr>
      <w:r>
        <w:rPr>
          <w:rFonts w:hint="eastAsia"/>
          <w:lang w:val="en-US" w:eastAsia="zh-CN"/>
        </w:rPr>
        <w:t>操作提拉压板</w:t>
      </w:r>
    </w:p>
    <w:p w14:paraId="1ADE2086">
      <w:pPr>
        <w:bidi w:val="0"/>
        <w:rPr>
          <w:rFonts w:hint="eastAsia"/>
          <w:lang w:val="en-US" w:eastAsia="zh-CN"/>
        </w:rPr>
      </w:pPr>
      <w:r>
        <w:rPr>
          <w:rFonts w:hint="eastAsia"/>
          <w:lang w:val="en-US" w:eastAsia="zh-CN"/>
        </w:rPr>
        <w:t>压板位置是固定的</w:t>
      </w:r>
    </w:p>
    <w:p w14:paraId="16E5E657">
      <w:pPr>
        <w:bidi w:val="0"/>
        <w:rPr>
          <w:rFonts w:hint="eastAsia"/>
        </w:rPr>
      </w:pPr>
      <w:r>
        <w:rPr>
          <w:rFonts w:hint="eastAsia"/>
        </w:rPr>
        <w:t>机械臂使用夹持器夹持压板，按照预设姿态将压板提起距离柜面固定高度，夹持器旋转或机械臂摆动固定角度，如5</w:t>
      </w:r>
      <w:r>
        <w:rPr>
          <w:rFonts w:hint="eastAsia" w:ascii="仿宋" w:hAnsi="仿宋" w:eastAsia="仿宋" w:cs="仿宋"/>
        </w:rPr>
        <w:t>～</w:t>
      </w:r>
      <w:r>
        <w:rPr>
          <w:rFonts w:hint="eastAsia"/>
        </w:rPr>
        <w:t>10°（机械臂夹持旋转所需力预估小于0.5kg）。</w:t>
      </w:r>
    </w:p>
    <w:p w14:paraId="34BD996F">
      <w:pPr>
        <w:bidi w:val="0"/>
        <w:rPr>
          <w:rFonts w:hint="eastAsia"/>
        </w:rPr>
      </w:pPr>
      <w:r>
        <w:rPr>
          <w:rFonts w:hint="eastAsia"/>
        </w:rPr>
        <w:t>压板复位，需机械臂夹持压板对准压板下孔位。</w:t>
      </w:r>
    </w:p>
    <w:p w14:paraId="69BB1D7A">
      <w:pPr>
        <w:bidi w:val="0"/>
        <w:rPr>
          <w:rFonts w:hint="eastAsia"/>
        </w:rPr>
      </w:pPr>
      <w:r>
        <w:rPr>
          <w:rFonts w:hint="eastAsia"/>
          <w:lang w:val="en-US" w:eastAsia="zh-CN"/>
        </w:rPr>
        <w:t>压板目标较小，机械臂需具备自动纠偏。</w:t>
      </w:r>
    </w:p>
    <w:p w14:paraId="03828718">
      <w:pPr>
        <w:pStyle w:val="3"/>
        <w:bidi w:val="0"/>
        <w:rPr>
          <w:rFonts w:hint="eastAsia"/>
          <w:lang w:val="en-US" w:eastAsia="zh-CN"/>
        </w:rPr>
      </w:pPr>
      <w:r>
        <w:rPr>
          <w:rFonts w:hint="eastAsia"/>
          <w:lang w:val="en-US" w:eastAsia="zh-CN"/>
        </w:rPr>
        <w:t>操作手车操作孔</w:t>
      </w:r>
    </w:p>
    <w:p w14:paraId="7D262E2B">
      <w:pPr>
        <w:bidi w:val="0"/>
        <w:rPr>
          <w:rFonts w:hint="eastAsia"/>
        </w:rPr>
      </w:pPr>
      <w:r>
        <w:rPr>
          <w:rFonts w:hint="eastAsia"/>
          <w:lang w:val="en-US" w:eastAsia="zh-CN"/>
        </w:rPr>
        <w:t>手车操作孔位置是固定的。</w:t>
      </w:r>
    </w:p>
    <w:p w14:paraId="0E1B058E">
      <w:pPr>
        <w:bidi w:val="0"/>
        <w:rPr>
          <w:rFonts w:hint="eastAsia"/>
        </w:rPr>
      </w:pPr>
      <w:r>
        <w:rPr>
          <w:rFonts w:hint="eastAsia"/>
        </w:rPr>
        <w:t>需机器人识别到手车操作孔位置，使用机器人专用末端工具或夹持地刀摇把工具，对准操作孔进行顺时针（合）、逆时针（分）旋转手车摇把，直到手车到位（最后一圈峰值用力，机械臂夹持旋转所需力预估不小于</w:t>
      </w:r>
      <w:r>
        <w:rPr>
          <w:rFonts w:hint="eastAsia"/>
          <w:lang w:val="en-US" w:eastAsia="zh-CN"/>
        </w:rPr>
        <w:t>5</w:t>
      </w:r>
      <w:r>
        <w:rPr>
          <w:rFonts w:hint="eastAsia"/>
        </w:rPr>
        <w:t>kg）。</w:t>
      </w:r>
    </w:p>
    <w:p w14:paraId="66795288">
      <w:pPr>
        <w:bidi w:val="0"/>
        <w:rPr>
          <w:rFonts w:hint="eastAsia"/>
        </w:rPr>
      </w:pPr>
      <w:r>
        <w:rPr>
          <w:rFonts w:hint="eastAsia"/>
        </w:rPr>
        <w:drawing>
          <wp:inline distT="0" distB="0" distL="114300" distR="114300">
            <wp:extent cx="963295" cy="1367790"/>
            <wp:effectExtent l="0" t="0" r="12065" b="3810"/>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52"/>
                    <a:stretch>
                      <a:fillRect/>
                    </a:stretch>
                  </pic:blipFill>
                  <pic:spPr>
                    <a:xfrm>
                      <a:off x="0" y="0"/>
                      <a:ext cx="963295" cy="1367790"/>
                    </a:xfrm>
                    <a:prstGeom prst="rect">
                      <a:avLst/>
                    </a:prstGeom>
                    <a:noFill/>
                    <a:ln>
                      <a:noFill/>
                    </a:ln>
                  </pic:spPr>
                </pic:pic>
              </a:graphicData>
            </a:graphic>
          </wp:inline>
        </w:drawing>
      </w:r>
    </w:p>
    <w:p w14:paraId="42D7663B">
      <w:pPr>
        <w:bidi w:val="0"/>
        <w:rPr>
          <w:rFonts w:hint="default" w:eastAsia="仿宋"/>
          <w:lang w:val="en-US" w:eastAsia="zh-CN"/>
        </w:rPr>
      </w:pPr>
      <w:r>
        <w:rPr>
          <w:rFonts w:hint="eastAsia"/>
          <w:lang w:val="en-US" w:eastAsia="zh-CN"/>
        </w:rPr>
        <w:t>操作孔直径约3</w:t>
      </w:r>
      <w:r>
        <w:rPr>
          <w:rFonts w:hint="eastAsia" w:ascii="仿宋" w:hAnsi="仿宋" w:eastAsia="仿宋" w:cs="仿宋"/>
          <w:lang w:val="en-US" w:eastAsia="zh-CN"/>
        </w:rPr>
        <w:t>～</w:t>
      </w:r>
      <w:r>
        <w:rPr>
          <w:rFonts w:hint="eastAsia"/>
          <w:lang w:val="en-US" w:eastAsia="zh-CN"/>
        </w:rPr>
        <w:t>4cm，需机械臂使用工具对准，机械臂需具备自动纠偏。</w:t>
      </w:r>
    </w:p>
    <w:p w14:paraId="2D06CCDB">
      <w:pPr>
        <w:pStyle w:val="3"/>
        <w:bidi w:val="0"/>
        <w:rPr>
          <w:rFonts w:hint="eastAsia"/>
          <w:lang w:val="en-US" w:eastAsia="zh-CN"/>
        </w:rPr>
      </w:pPr>
      <w:r>
        <w:rPr>
          <w:rFonts w:hint="eastAsia"/>
          <w:lang w:val="en-US" w:eastAsia="zh-CN"/>
        </w:rPr>
        <w:t>操作地刀操作孔</w:t>
      </w:r>
    </w:p>
    <w:p w14:paraId="28A08362">
      <w:pPr>
        <w:bidi w:val="0"/>
        <w:rPr>
          <w:rFonts w:hint="eastAsia"/>
          <w:lang w:val="en-US" w:eastAsia="zh-CN"/>
        </w:rPr>
      </w:pPr>
      <w:r>
        <w:rPr>
          <w:rFonts w:hint="eastAsia"/>
          <w:lang w:val="en-US" w:eastAsia="zh-CN"/>
        </w:rPr>
        <w:t>地刀操作孔位置是固定的。</w:t>
      </w:r>
    </w:p>
    <w:p w14:paraId="4F64CF1E">
      <w:pPr>
        <w:bidi w:val="0"/>
        <w:rPr>
          <w:rFonts w:hint="eastAsia"/>
          <w:lang w:val="en-US" w:eastAsia="zh-CN"/>
        </w:rPr>
      </w:pPr>
      <w:r>
        <w:rPr>
          <w:rFonts w:hint="eastAsia"/>
          <w:lang w:val="en-US" w:eastAsia="zh-CN"/>
        </w:rPr>
        <w:t>需机器人双臂协同操作。</w:t>
      </w:r>
    </w:p>
    <w:p w14:paraId="63561B37">
      <w:pPr>
        <w:bidi w:val="0"/>
        <w:rPr>
          <w:rFonts w:hint="eastAsia"/>
          <w:lang w:val="en-US" w:eastAsia="zh-CN"/>
        </w:rPr>
      </w:pPr>
      <w:r>
        <w:rPr>
          <w:rFonts w:hint="eastAsia"/>
          <w:lang w:val="en-US" w:eastAsia="zh-CN"/>
        </w:rPr>
        <w:t>机器人识别到地刀操作孔位置，机器人使用一只机械臂夹持器或专用工具下压地刀操作孔联锁板，直到地刀操作孔完全露出（下压地刀操作孔连锁版，机械臂所需力预估不小于10kg）。</w:t>
      </w:r>
    </w:p>
    <w:p w14:paraId="2FA818BC">
      <w:pPr>
        <w:bidi w:val="0"/>
        <w:rPr>
          <w:rFonts w:hint="eastAsia"/>
          <w:lang w:val="en-US" w:eastAsia="zh-CN"/>
        </w:rPr>
      </w:pPr>
      <w:r>
        <w:rPr>
          <w:rFonts w:hint="eastAsia"/>
          <w:lang w:val="en-US" w:eastAsia="zh-CN"/>
        </w:rPr>
        <w:drawing>
          <wp:inline distT="0" distB="0" distL="0" distR="0">
            <wp:extent cx="514985" cy="1367790"/>
            <wp:effectExtent l="0" t="0" r="3175"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53"/>
                    <a:stretch>
                      <a:fillRect/>
                    </a:stretch>
                  </pic:blipFill>
                  <pic:spPr>
                    <a:xfrm>
                      <a:off x="0" y="0"/>
                      <a:ext cx="514985" cy="1367790"/>
                    </a:xfrm>
                    <a:prstGeom prst="rect">
                      <a:avLst/>
                    </a:prstGeom>
                  </pic:spPr>
                </pic:pic>
              </a:graphicData>
            </a:graphic>
          </wp:inline>
        </w:drawing>
      </w:r>
    </w:p>
    <w:p w14:paraId="431BF5C6">
      <w:pPr>
        <w:bidi w:val="0"/>
        <w:rPr>
          <w:rFonts w:hint="eastAsia"/>
          <w:lang w:val="en-US" w:eastAsia="zh-CN"/>
        </w:rPr>
      </w:pPr>
      <w:r>
        <w:rPr>
          <w:rFonts w:hint="eastAsia"/>
          <w:lang w:val="en-US" w:eastAsia="zh-CN"/>
        </w:rPr>
        <w:t>另一只机械臂使用专用末端工具或夹持地刀摇把工具，对准操作孔进行顺时针（合）、逆时针（分）旋转地刀摇把（机械臂夹持旋转所需力预估不小于10kg）。</w:t>
      </w:r>
    </w:p>
    <w:p w14:paraId="66577CAC">
      <w:pPr>
        <w:bidi w:val="0"/>
        <w:rPr>
          <w:rFonts w:hint="eastAsia"/>
          <w:lang w:val="en-US" w:eastAsia="zh-CN"/>
        </w:rPr>
      </w:pPr>
      <w:r>
        <w:rPr>
          <w:rFonts w:hint="eastAsia"/>
          <w:lang w:val="en-US" w:eastAsia="zh-CN"/>
        </w:rPr>
        <w:t>操作孔直径约3～4cm，需机械臂使用工具对准，机械臂需具备自动纠偏。</w:t>
      </w:r>
    </w:p>
    <w:p w14:paraId="668B2CB8">
      <w:pPr>
        <w:pStyle w:val="3"/>
        <w:bidi w:val="0"/>
        <w:rPr>
          <w:rFonts w:hint="default"/>
          <w:lang w:val="en-US" w:eastAsia="zh-CN"/>
        </w:rPr>
      </w:pPr>
      <w:r>
        <w:rPr>
          <w:rFonts w:hint="eastAsia"/>
          <w:lang w:val="en-US" w:eastAsia="zh-CN"/>
        </w:rPr>
        <w:t>操作拉出手车</w:t>
      </w:r>
    </w:p>
    <w:p w14:paraId="398D5489">
      <w:pPr>
        <w:bidi w:val="0"/>
        <w:rPr>
          <w:rFonts w:hint="default"/>
          <w:lang w:val="en-US" w:eastAsia="zh-CN"/>
        </w:rPr>
      </w:pPr>
      <w:r>
        <w:rPr>
          <w:rFonts w:hint="eastAsia"/>
          <w:lang w:val="en-US" w:eastAsia="zh-CN"/>
        </w:rPr>
        <w:t>按步骤完成停电操作。</w:t>
      </w:r>
    </w:p>
    <w:p w14:paraId="52586B84">
      <w:pPr>
        <w:bidi w:val="0"/>
        <w:rPr>
          <w:rFonts w:hint="eastAsia"/>
          <w:lang w:val="en-US" w:eastAsia="zh-CN"/>
        </w:rPr>
      </w:pPr>
      <w:r>
        <w:rPr>
          <w:rFonts w:hint="eastAsia"/>
          <w:lang w:val="en-US" w:eastAsia="zh-CN"/>
        </w:rPr>
        <w:t>手车转运车需预先设置好高度。</w:t>
      </w:r>
    </w:p>
    <w:p w14:paraId="3AA57725">
      <w:pPr>
        <w:bidi w:val="0"/>
        <w:rPr>
          <w:rFonts w:hint="eastAsia"/>
          <w:lang w:val="en-US" w:eastAsia="zh-CN"/>
        </w:rPr>
      </w:pPr>
      <w:r>
        <w:rPr>
          <w:rFonts w:hint="eastAsia"/>
          <w:lang w:val="en-US" w:eastAsia="zh-CN"/>
        </w:rPr>
        <w:t>机器人推动手车转运车对准手车室，机械臂握住手车推拉扶手向内用力解锁插销，再向外拉动手车，直到手车推拉扶手左右侧完全对准手车转运车限位孔（机械臂所需力预估不小于10kg）。</w:t>
      </w:r>
    </w:p>
    <w:p w14:paraId="71665D57">
      <w:pPr>
        <w:bidi w:val="0"/>
        <w:rPr>
          <w:rFonts w:hint="default"/>
          <w:lang w:val="en-US" w:eastAsia="zh-CN"/>
        </w:rPr>
      </w:pPr>
      <w:r>
        <w:rPr>
          <w:rFonts w:hint="eastAsia"/>
          <w:lang w:val="en-US" w:eastAsia="zh-CN"/>
        </w:rPr>
        <w:t>此操作较为复杂。</w:t>
      </w:r>
    </w:p>
    <w:p w14:paraId="2956E1C5">
      <w:pPr>
        <w:pStyle w:val="3"/>
        <w:bidi w:val="0"/>
        <w:rPr>
          <w:rFonts w:hint="default"/>
          <w:lang w:val="en-US" w:eastAsia="zh-CN"/>
        </w:rPr>
      </w:pPr>
      <w:r>
        <w:rPr>
          <w:rFonts w:hint="eastAsia"/>
          <w:lang w:val="en-US" w:eastAsia="zh-CN"/>
        </w:rPr>
        <w:t>操作急停按钮</w:t>
      </w:r>
    </w:p>
    <w:p w14:paraId="3E52AC15">
      <w:pPr>
        <w:bidi w:val="0"/>
        <w:rPr>
          <w:rFonts w:hint="eastAsia"/>
        </w:rPr>
      </w:pPr>
      <w:r>
        <w:rPr>
          <w:rFonts w:hint="eastAsia"/>
          <w:lang w:val="en-US" w:eastAsia="zh-CN"/>
        </w:rPr>
        <w:t>急停按钮位置是固定的。</w:t>
      </w:r>
    </w:p>
    <w:p w14:paraId="04094D1E">
      <w:pPr>
        <w:bidi w:val="0"/>
        <w:rPr>
          <w:rFonts w:hint="eastAsia"/>
          <w:lang w:eastAsia="zh-CN"/>
        </w:rPr>
      </w:pPr>
      <w:r>
        <w:rPr>
          <w:rFonts w:hint="eastAsia"/>
        </w:rPr>
        <w:t>需双臂联合操作</w:t>
      </w:r>
      <w:r>
        <w:rPr>
          <w:rFonts w:hint="eastAsia"/>
          <w:lang w:eastAsia="zh-CN"/>
        </w:rPr>
        <w:t>。</w:t>
      </w:r>
    </w:p>
    <w:p w14:paraId="677D1913">
      <w:pPr>
        <w:bidi w:val="0"/>
        <w:rPr>
          <w:rFonts w:hint="eastAsia"/>
        </w:rPr>
      </w:pPr>
      <w:r>
        <w:rPr>
          <w:rFonts w:hint="eastAsia"/>
        </w:rPr>
        <w:t>一只机械臂旋转旋钮，另一只机械臂按下按钮（机械臂夹持旋转所需力预估小于1kg）。</w:t>
      </w:r>
    </w:p>
    <w:p w14:paraId="654F6D29">
      <w:pPr>
        <w:bidi w:val="0"/>
        <w:rPr>
          <w:rFonts w:hint="eastAsia"/>
          <w:lang w:val="en-US" w:eastAsia="zh-CN"/>
        </w:rPr>
      </w:pPr>
      <w:r>
        <w:rPr>
          <w:rFonts w:hint="eastAsia"/>
          <w:lang w:val="en-US" w:eastAsia="zh-CN"/>
        </w:rPr>
        <w:t>机械臂需具备自动纠偏。</w:t>
      </w:r>
    </w:p>
    <w:p w14:paraId="48BEC94D">
      <w:pPr>
        <w:bidi w:val="0"/>
        <w:rPr>
          <w:rFonts w:hint="default"/>
          <w:lang w:val="en-US" w:eastAsia="zh-CN"/>
        </w:rPr>
      </w:pPr>
    </w:p>
    <w:p w14:paraId="025FDBB2">
      <w:pPr>
        <w:rPr>
          <w:rFonts w:hint="eastAsia"/>
          <w:lang w:val="en-US" w:eastAsia="zh-CN"/>
        </w:rPr>
      </w:pPr>
      <w:r>
        <w:rPr>
          <w:rFonts w:hint="eastAsia"/>
          <w:lang w:val="en-US" w:eastAsia="zh-CN"/>
        </w:rPr>
        <w:br w:type="page"/>
      </w:r>
    </w:p>
    <w:p w14:paraId="3C51E077">
      <w:pPr>
        <w:pStyle w:val="2"/>
        <w:bidi w:val="0"/>
        <w:rPr>
          <w:rFonts w:hint="eastAsia"/>
          <w:lang w:val="en-US" w:eastAsia="zh-CN"/>
        </w:rPr>
      </w:pPr>
      <w:r>
        <w:rPr>
          <w:rFonts w:hint="eastAsia"/>
          <w:lang w:val="en-US" w:eastAsia="zh-CN"/>
        </w:rPr>
        <w:t>其他说明</w:t>
      </w:r>
    </w:p>
    <w:p w14:paraId="367671DF">
      <w:pPr>
        <w:pStyle w:val="3"/>
      </w:pPr>
      <w:r>
        <w:t>中置柜操作规程</w:t>
      </w:r>
      <w:r>
        <w:rPr>
          <w:rFonts w:hint="eastAsia"/>
        </w:rPr>
        <w:t>（</w:t>
      </w:r>
      <w:r>
        <w:rPr>
          <w:rFonts w:hint="eastAsia"/>
          <w:lang w:val="en-US" w:eastAsia="zh-CN"/>
        </w:rPr>
        <w:t>泉州</w:t>
      </w:r>
      <w:r>
        <w:rPr>
          <w:rFonts w:hint="eastAsia"/>
        </w:rPr>
        <w:t>现场柜面信息）</w:t>
      </w:r>
    </w:p>
    <w:p w14:paraId="63AD57E9">
      <w:r>
        <w:drawing>
          <wp:inline distT="0" distB="0" distL="114300" distR="114300">
            <wp:extent cx="2498725" cy="3699510"/>
            <wp:effectExtent l="0" t="0" r="635" b="3810"/>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54"/>
                    <a:stretch>
                      <a:fillRect/>
                    </a:stretch>
                  </pic:blipFill>
                  <pic:spPr>
                    <a:xfrm>
                      <a:off x="0" y="0"/>
                      <a:ext cx="2498725" cy="3699510"/>
                    </a:xfrm>
                    <a:prstGeom prst="rect">
                      <a:avLst/>
                    </a:prstGeom>
                    <a:noFill/>
                    <a:ln>
                      <a:noFill/>
                    </a:ln>
                  </pic:spPr>
                </pic:pic>
              </a:graphicData>
            </a:graphic>
          </wp:inline>
        </w:drawing>
      </w:r>
    </w:p>
    <w:p w14:paraId="78FB4FC0">
      <w:pPr>
        <w:ind w:firstLine="480"/>
      </w:pPr>
      <w:r>
        <w:t>(请严格按此程序操作，否则可能损坏机械闭锁机构)</w:t>
      </w:r>
    </w:p>
    <w:p w14:paraId="5C2F6D7D">
      <w:pPr>
        <w:pStyle w:val="8"/>
        <w:numPr>
          <w:ilvl w:val="0"/>
          <w:numId w:val="8"/>
        </w:numPr>
        <w:ind w:firstLineChars="0"/>
      </w:pPr>
      <w:r>
        <w:t>送电操作程序</w:t>
      </w:r>
    </w:p>
    <w:p w14:paraId="22882E40">
      <w:pPr>
        <w:ind w:firstLine="480"/>
      </w:pPr>
      <w:r>
        <w:t>1.先锁好后上下门，再关好前下门并锁紧(接地开关处合位时方可关好前</w:t>
      </w:r>
    </w:p>
    <w:p w14:paraId="5D631EEC">
      <w:pPr>
        <w:ind w:firstLine="480"/>
      </w:pPr>
      <w:r>
        <w:t>后下门)</w:t>
      </w:r>
      <w:r>
        <w:rPr>
          <w:rFonts w:hint="eastAsia"/>
        </w:rPr>
        <w:t>；</w:t>
      </w:r>
    </w:p>
    <w:p w14:paraId="3EA61D20">
      <w:pPr>
        <w:ind w:firstLine="480"/>
      </w:pPr>
      <w:r>
        <w:t>2.打开前中门，将服务手车移动到相应的开关柜前并锁定好服务手车</w:t>
      </w:r>
      <w:r>
        <w:rPr>
          <w:rFonts w:hint="eastAsia"/>
        </w:rPr>
        <w:t>；</w:t>
      </w:r>
    </w:p>
    <w:p w14:paraId="05B822DB">
      <w:pPr>
        <w:ind w:firstLine="480"/>
      </w:pPr>
      <w:r>
        <w:t>再将手车自身左右定位机构解锁并推至柜内锁定在试验位置</w:t>
      </w:r>
      <w:r>
        <w:rPr>
          <w:rFonts w:hint="eastAsia"/>
        </w:rPr>
        <w:t>；</w:t>
      </w:r>
    </w:p>
    <w:p w14:paraId="041DD0F4">
      <w:pPr>
        <w:ind w:firstLine="480"/>
      </w:pPr>
      <w:r>
        <w:t>从手车前眉螺柱上取下二次航空插头，手动将插头插在柜内的插座上，关好并锁紧前中门</w:t>
      </w:r>
      <w:r>
        <w:rPr>
          <w:rFonts w:hint="eastAsia"/>
        </w:rPr>
        <w:t>；</w:t>
      </w:r>
    </w:p>
    <w:p w14:paraId="06E5C642">
      <w:pPr>
        <w:ind w:firstLine="480"/>
      </w:pPr>
      <w:r>
        <w:t>3.将接地开关操作手柄插入接地开关操作孔内，逆时针旋转90</w:t>
      </w:r>
      <w:r>
        <w:rPr>
          <w:rFonts w:hint="eastAsia"/>
        </w:rPr>
        <w:t>°</w:t>
      </w:r>
      <w:r>
        <w:t>，此时接地开关分闸，取出接地开关操作手柄，操作孔处联锁板自动弹起并盖住操作孔，同时前下门及柜后门闭锁(无接地开关时为电磁闭锁或封板)</w:t>
      </w:r>
      <w:r>
        <w:rPr>
          <w:rFonts w:hint="eastAsia"/>
        </w:rPr>
        <w:t>；</w:t>
      </w:r>
    </w:p>
    <w:p w14:paraId="37F38C7F">
      <w:pPr>
        <w:ind w:firstLine="480"/>
      </w:pPr>
      <w:r>
        <w:t>4.将手车进出专用摇把插入手车底盘操作机构孔内，顺时针转动摇把约20圈，并听到有“咔嗒”声，同时手车明显受阻取下摇把，此时手车处于工作位置(二次插头在手车摇进到工作位置时同时被锁定)，手车一、二次回路接通</w:t>
      </w:r>
      <w:r>
        <w:rPr>
          <w:rFonts w:hint="eastAsia"/>
        </w:rPr>
        <w:t>；</w:t>
      </w:r>
    </w:p>
    <w:p w14:paraId="1561B8A9">
      <w:pPr>
        <w:ind w:firstLine="480"/>
      </w:pPr>
      <w:r>
        <w:t>5.根据操作票的指令，操作控制回路的开关，对开关柜进行分合闸操作(断</w:t>
      </w:r>
    </w:p>
    <w:p w14:paraId="60F5DAAC">
      <w:pPr>
        <w:ind w:firstLine="480"/>
      </w:pPr>
      <w:r>
        <w:t>路器柜)。</w:t>
      </w:r>
    </w:p>
    <w:p w14:paraId="52D2E9ED">
      <w:pPr>
        <w:pStyle w:val="8"/>
        <w:numPr>
          <w:ilvl w:val="0"/>
          <w:numId w:val="8"/>
        </w:numPr>
        <w:ind w:firstLineChars="0"/>
      </w:pPr>
      <w:r>
        <w:t>停电操作程序</w:t>
      </w:r>
    </w:p>
    <w:p w14:paraId="00650317">
      <w:pPr>
        <w:ind w:firstLine="480"/>
      </w:pPr>
      <w:r>
        <w:t>1.根据操作票的指令，操作控制回路的开关，对开关柜进行分闸操作(断路器柜)。</w:t>
      </w:r>
    </w:p>
    <w:p w14:paraId="3E34429A">
      <w:pPr>
        <w:ind w:firstLine="480"/>
      </w:pPr>
      <w:r>
        <w:t>2.将手车进出专用摇把插入手车底盘操作机构孔内，逆时针转动摇把约20圈，能听到有“咔嗒”声，同时手车明显受阻取下摇把，此时手车处于试验位置二次插头锁定解除</w:t>
      </w:r>
      <w:r>
        <w:rPr>
          <w:rFonts w:hint="eastAsia"/>
        </w:rPr>
        <w:t>；</w:t>
      </w:r>
    </w:p>
    <w:p w14:paraId="75EBDF17">
      <w:pPr>
        <w:ind w:firstLine="480"/>
      </w:pPr>
      <w:r>
        <w:t>3.确认电缆侧不带电后，用手指按下接地开关操作孔处联锁板(不得借助工具，此操作应无卡阻现象)，将接地开关操作手柄插入接地开关操作孔内顺时针旋转90</w:t>
      </w:r>
      <w:r>
        <w:rPr>
          <w:rFonts w:hint="eastAsia"/>
        </w:rPr>
        <w:t>°</w:t>
      </w:r>
      <w:r>
        <w:t>，合上接地开关，取出接地开关操作手柄，此时操作孔处联锁板不会弹回盖住操作孔(无接地开关时前、后下门电磁锁手动解除闭锁)</w:t>
      </w:r>
      <w:r>
        <w:rPr>
          <w:rFonts w:hint="eastAsia"/>
        </w:rPr>
        <w:t>；</w:t>
      </w:r>
    </w:p>
    <w:p w14:paraId="74DA7914">
      <w:pPr>
        <w:ind w:firstLine="480"/>
      </w:pPr>
      <w:r>
        <w:t>4.打开前下门或后门进行检修工作</w:t>
      </w:r>
      <w:r>
        <w:rPr>
          <w:rFonts w:hint="eastAsia"/>
        </w:rPr>
        <w:t>；</w:t>
      </w:r>
    </w:p>
    <w:p w14:paraId="7C63DAB0">
      <w:pPr>
        <w:ind w:firstLine="480"/>
      </w:pPr>
      <w:r>
        <w:t>5.必要时，打开手车室门(前中门)，将手车航空插头从柜内插座上手动取下挂在手车前眉的螺柱上</w:t>
      </w:r>
      <w:r>
        <w:rPr>
          <w:rFonts w:hint="eastAsia"/>
        </w:rPr>
        <w:t>；</w:t>
      </w:r>
    </w:p>
    <w:p w14:paraId="1DC99DD5">
      <w:pPr>
        <w:ind w:firstLine="480"/>
      </w:pPr>
      <w:r>
        <w:t>再将手车自身左右定位机构解锁由柜内移至服务手车上锁定将服务手车停档(球形手柄)向左扳动，解开服务手车锁定，此时服务手车可从柜前移动至旁边放好。</w:t>
      </w:r>
    </w:p>
    <w:p w14:paraId="5AB8ACA6">
      <w:pPr>
        <w:pStyle w:val="8"/>
        <w:numPr>
          <w:ilvl w:val="0"/>
          <w:numId w:val="8"/>
        </w:numPr>
        <w:ind w:firstLineChars="0"/>
      </w:pPr>
      <w:r>
        <w:t>紧急解锁操作</w:t>
      </w:r>
    </w:p>
    <w:p w14:paraId="79C445F3">
      <w:pPr>
        <w:ind w:firstLine="480"/>
      </w:pPr>
      <w:r>
        <w:t>紧急情况下，下门右上角处有紧急解锁装置，无须关合接地开关仍可打开下门，对电缆室进行紧急处理(注:紧急情况处理完毕后请及时恢复闭锁装置)</w:t>
      </w:r>
      <w:r>
        <w:rPr>
          <w:rFonts w:hint="eastAsia"/>
        </w:rPr>
        <w:t>。</w:t>
      </w:r>
    </w:p>
    <w:p w14:paraId="79BC7FD3">
      <w:pPr>
        <w:pStyle w:val="3"/>
      </w:pPr>
      <w:r>
        <w:rPr>
          <w:rFonts w:hint="eastAsia"/>
        </w:rPr>
        <w:t>储能指示灯点亮时说明手车储能弹簧储能完毕</w:t>
      </w:r>
    </w:p>
    <w:p w14:paraId="4F80A7EE">
      <w:pPr>
        <w:ind w:firstLine="480"/>
      </w:pPr>
      <w:r>
        <w:rPr>
          <w:rFonts w:hint="eastAsia"/>
        </w:rPr>
        <w:t>只有合闸时需要储能：储能弹簧主要是为“合闸”操作提供动力的。如果断路器已经处于合闸状态，且弹簧未储能，它虽然无法再次合闸，但并不影响分闸，分闸通常由另一组分闸弹簧或机构完成，是独立的。中置柜大多具备自动储能功能，即合闸后，内部电机自动启动把弹簧拉紧。但如果停电或电机故障，柜体上也通常配有手动储能孔，操作人员可以用摇把插入并旋转来手动储能。“断路器已经上好‘发条’，随时可以合闸送电了。”如果灯不亮，合闸按钮是无效的，必须先储能（手动或自动）才能操作。这是保障操作顺序和安全。</w:t>
      </w:r>
    </w:p>
    <w:p w14:paraId="3F6F4FF8">
      <w:pPr>
        <w:pStyle w:val="2"/>
        <w:bidi w:val="0"/>
        <w:rPr>
          <w:rFonts w:hint="default"/>
          <w:lang w:val="en-US" w:eastAsia="zh-CN"/>
        </w:rPr>
      </w:pPr>
      <w:r>
        <w:rPr>
          <w:rFonts w:hint="eastAsia"/>
          <w:lang w:val="en-US" w:eastAsia="zh-CN"/>
        </w:rPr>
        <w:t>资料来源</w:t>
      </w:r>
    </w:p>
    <w:p w14:paraId="14FB782B">
      <w:pPr>
        <w:ind w:firstLine="480"/>
        <w:rPr>
          <w:rFonts w:hint="default" w:eastAsia="仿宋"/>
          <w:lang w:val="en-US" w:eastAsia="zh-CN"/>
        </w:rPr>
      </w:pPr>
      <w:r>
        <w:rPr>
          <w:rFonts w:hint="eastAsia"/>
        </w:rPr>
        <w:t>中电建盘州低热值煤发电公司</w:t>
      </w:r>
      <w:r>
        <w:rPr>
          <w:rFonts w:hint="eastAsia"/>
          <w:lang w:eastAsia="zh-CN"/>
        </w:rPr>
        <w:t>——</w:t>
      </w:r>
      <w:r>
        <w:rPr>
          <w:rFonts w:hint="eastAsia"/>
          <w:lang w:val="en-US" w:eastAsia="zh-CN"/>
        </w:rPr>
        <w:t>售前同事现场踏勘</w:t>
      </w:r>
    </w:p>
    <w:p w14:paraId="15B72D0E">
      <w:pPr>
        <w:ind w:firstLine="480"/>
        <w:rPr>
          <w:rFonts w:hint="eastAsia"/>
          <w:lang w:val="en-US" w:eastAsia="zh-CN"/>
        </w:rPr>
      </w:pPr>
      <w:r>
        <w:rPr>
          <w:rFonts w:hint="eastAsia"/>
        </w:rPr>
        <w:t>福建电科院及泉州安溪供电公司</w:t>
      </w:r>
      <w:r>
        <w:rPr>
          <w:rFonts w:hint="eastAsia"/>
          <w:lang w:eastAsia="zh-CN"/>
        </w:rPr>
        <w:t>——</w:t>
      </w:r>
      <w:r>
        <w:rPr>
          <w:rFonts w:hint="eastAsia"/>
          <w:lang w:val="en-US" w:eastAsia="zh-CN"/>
        </w:rPr>
        <w:t>产品策划部及研发现场踏勘</w:t>
      </w:r>
    </w:p>
    <w:p w14:paraId="62C6BF46">
      <w:pPr>
        <w:pStyle w:val="2"/>
        <w:bidi w:val="0"/>
        <w:rPr>
          <w:rFonts w:hint="eastAsia"/>
          <w:lang w:val="en-US" w:eastAsia="zh-CN"/>
        </w:rPr>
      </w:pPr>
      <w:r>
        <w:rPr>
          <w:rFonts w:hint="eastAsia"/>
          <w:lang w:val="en-US" w:eastAsia="zh-CN"/>
        </w:rPr>
        <w:t>电力操作机器人与电力设备操作流程会议纪要20260708</w:t>
      </w:r>
    </w:p>
    <w:p w14:paraId="45BE332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本次会议主要围绕轮式双臂机器人项目的推进计划展开，明确了以电力场景为核心的研发方向，并讨论了后续的场景拆解与资料共享事宜。</w:t>
      </w:r>
    </w:p>
    <w:p w14:paraId="4712A5C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default"/>
          <w:b/>
          <w:bCs/>
          <w:highlight w:val="yellow"/>
          <w:lang w:val="en-US" w:eastAsia="zh-CN"/>
        </w:rPr>
      </w:pPr>
      <w:r>
        <w:rPr>
          <w:rFonts w:hint="eastAsia"/>
          <w:b/>
          <w:bCs/>
          <w:highlight w:val="yellow"/>
          <w:lang w:val="en-US" w:eastAsia="zh-CN"/>
        </w:rPr>
        <w:t>小结（一）</w:t>
      </w:r>
    </w:p>
    <w:p w14:paraId="5F5041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1.电力机器人操作流程与力矩分析​​</w:t>
      </w:r>
    </w:p>
    <w:p w14:paraId="36AA754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各类开关操作力矩预估:</w:t>
      </w:r>
    </w:p>
    <w:p w14:paraId="69D9C7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切换开关:操作力小于1kg。</w:t>
      </w:r>
    </w:p>
    <w:p w14:paraId="5D63D0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分合闸转换开关: 操作力大于切换开关，峰值约2kg。</w:t>
      </w:r>
    </w:p>
    <w:p w14:paraId="284EDC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压板操作:操作目标小，需机械臂具备自动纠偏能力。</w:t>
      </w:r>
    </w:p>
    <w:p w14:paraId="2052E44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手车操作孔:旋转20圈，峰值用力达2.57kg。</w:t>
      </w:r>
    </w:p>
    <w:p w14:paraId="0BC452D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地刀操作孔:峰值用力达9.76kg，需双臂协同操作。</w:t>
      </w:r>
    </w:p>
    <w:p w14:paraId="254699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急停按钮:预估力小于1kg，同样需自动纠偏。</w:t>
      </w:r>
    </w:p>
    <w:p w14:paraId="4B868EC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断路器检修操作:在特定检修场景下，需将断路器手车从柜内拉出。此过程涉及复杂的机械操作，如调节托盘高度、手动操作卡扣等，目前尚无机器人替代此操作的明确方案。</w:t>
      </w:r>
    </w:p>
    <w:p w14:paraId="00B5BD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2. 机器人技术方案与实施策略​​</w:t>
      </w:r>
    </w:p>
    <w:p w14:paraId="437FC2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行业现状: 当前市场存在巡操一体化机器人，但电力行业对机器人操作持谨慎态度，因其不符合现有“一人一监”的安全规程。</w:t>
      </w:r>
    </w:p>
    <w:p w14:paraId="1EDF82B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实施路径: 计划分阶段、分步骤地实现机器人操作功能。初期将聚焦于操作流程中较易实现的部分，如远程控制、切换开关、压板操作等。</w:t>
      </w:r>
    </w:p>
    <w:p w14:paraId="5C48EC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覆盖范围评估:将基于现有机械臂及夹爪的初步技术状态，对梳理出的各类操作进行评估，明确机器人方案能完全覆盖、需更换专用工具覆盖以及完全无法覆盖的操作类型。</w:t>
      </w:r>
    </w:p>
    <w:p w14:paraId="06794717">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default"/>
          <w:b/>
          <w:bCs/>
          <w:highlight w:val="yellow"/>
          <w:lang w:val="en-US" w:eastAsia="zh-CN"/>
        </w:rPr>
      </w:pPr>
      <w:r>
        <w:rPr>
          <w:rFonts w:hint="default"/>
          <w:b/>
          <w:bCs/>
          <w:highlight w:val="yellow"/>
          <w:lang w:val="en-US" w:eastAsia="zh-CN"/>
        </w:rPr>
        <w:t>小结（</w:t>
      </w:r>
      <w:r>
        <w:rPr>
          <w:rFonts w:hint="eastAsia"/>
          <w:b/>
          <w:bCs/>
          <w:highlight w:val="yellow"/>
          <w:lang w:val="en-US" w:eastAsia="zh-CN"/>
        </w:rPr>
        <w:t>二</w:t>
      </w:r>
      <w:r>
        <w:rPr>
          <w:rFonts w:hint="default"/>
          <w:b/>
          <w:bCs/>
          <w:highlight w:val="yellow"/>
          <w:lang w:val="en-US" w:eastAsia="zh-CN"/>
        </w:rPr>
        <w:t>）</w:t>
      </w:r>
    </w:p>
    <w:p w14:paraId="57147F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1. 项目核心方向与范围​​</w:t>
      </w:r>
    </w:p>
    <w:p w14:paraId="1F250A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项目初期规划覆盖电力、物流、仓储、化工等多个场景，但因电力场景需求明确，决定将该项目的核心研发聚焦于电力场景。</w:t>
      </w:r>
    </w:p>
    <w:p w14:paraId="41F2B9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该项目为内部预研项目，旨在通过技术积累为未来的商业化落地打下基础。</w:t>
      </w:r>
    </w:p>
    <w:p w14:paraId="2338F00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2. 场景拆解与技术挑战​​</w:t>
      </w:r>
    </w:p>
    <w:p w14:paraId="44DD43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卢飞提出，为确保机器人未来能落地应用，必须解决真实场景的适配问题，尤其是在采用端到端模型时，数据采集和场景匹配至关重要。</w:t>
      </w:r>
    </w:p>
    <w:p w14:paraId="6458B1D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会议达成共识，先期将围绕已明确的电力场景进行技术方案的细化和评估。</w:t>
      </w:r>
    </w:p>
    <w:p w14:paraId="7A11B8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w:t>
      </w:r>
      <w:r>
        <w:rPr>
          <w:rFonts w:hint="default"/>
          <w:b/>
          <w:bCs/>
          <w:highlight w:val="yellow"/>
          <w:lang w:val="en-US" w:eastAsia="zh-CN"/>
        </w:rPr>
        <w:t>​待办</w:t>
      </w:r>
    </w:p>
    <w:p w14:paraId="05329B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1. 操作流程与技术方案评估​​</w:t>
      </w:r>
    </w:p>
    <w:p w14:paraId="094539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韩子勇负责协调</w:t>
      </w:r>
      <w:r>
        <w:rPr>
          <w:rFonts w:hint="eastAsia"/>
          <w:lang w:val="en-US" w:eastAsia="zh-CN"/>
        </w:rPr>
        <w:t>具身智能组</w:t>
      </w:r>
      <w:r>
        <w:rPr>
          <w:rFonts w:hint="default"/>
          <w:lang w:val="en-US" w:eastAsia="zh-CN"/>
        </w:rPr>
        <w:t>，为技术团队提供支持，以便评估现有机械臂及夹爪方案对各类操作的覆盖能力。</w:t>
      </w:r>
    </w:p>
    <w:p w14:paraId="267B42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卢飞负责根据操作流程，初步评估现有机械臂及夹爪方案的覆盖范围。具生智能同事，需结合聚生智能的规划，对项目步骤进行拆解，并评估各步骤的可行性及所需前提条件。</w:t>
      </w:r>
    </w:p>
    <w:p w14:paraId="12FCDB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2. 技术方案进展同步​​</w:t>
      </w:r>
    </w:p>
    <w:p w14:paraId="4A2923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韩子勇将在近期组织对上装部分的详细设计进行评审，并将评估结果作为补充材料，用于汇报机器人方案的覆盖程度。</w:t>
      </w:r>
    </w:p>
    <w:p w14:paraId="1D2D01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3. 资料与信息同步​​</w:t>
      </w:r>
    </w:p>
    <w:p w14:paraId="3D8F12C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余青林将提供13家招投标企业的数据，以及本次会议整理的资料。</w:t>
      </w:r>
    </w:p>
    <w:p w14:paraId="348B7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卢飞将提供三维扫描的原始文件（.usdz格式），以便</w:t>
      </w:r>
      <w:r>
        <w:rPr>
          <w:rFonts w:hint="eastAsia"/>
          <w:lang w:val="en-US" w:eastAsia="zh-CN"/>
        </w:rPr>
        <w:t>各</w:t>
      </w:r>
      <w:r>
        <w:rPr>
          <w:rFonts w:hint="default"/>
          <w:lang w:val="en-US" w:eastAsia="zh-CN"/>
        </w:rPr>
        <w:t>团队后续学习。</w:t>
      </w:r>
    </w:p>
    <w:p w14:paraId="0A7C0FB6">
      <w:pPr>
        <w:ind w:firstLine="480"/>
        <w:rPr>
          <w:rFonts w:hint="eastAsia"/>
        </w:rPr>
      </w:pPr>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2272778"/>
      <w:docPartObj>
        <w:docPartGallery w:val="autotext"/>
      </w:docPartObj>
    </w:sdtPr>
    <w:sdtContent>
      <w:p w14:paraId="55851AD6">
        <w:pPr>
          <w:pStyle w:val="9"/>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54DF8">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9BC45">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8EE36">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E5CD5">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B42D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9DD29"/>
    <w:multiLevelType w:val="multilevel"/>
    <w:tmpl w:val="DD19DD29"/>
    <w:lvl w:ilvl="0" w:tentative="0">
      <w:start w:val="1"/>
      <w:numFmt w:val="decimal"/>
      <w:suff w:val="nothing"/>
      <w:lvlText w:val="%1."/>
      <w:lvlJc w:val="left"/>
      <w:pPr>
        <w:ind w:left="0" w:firstLine="0"/>
      </w:pPr>
      <w:rPr>
        <w:rFonts w:hint="eastAsia"/>
      </w:rPr>
    </w:lvl>
    <w:lvl w:ilvl="1" w:tentative="0">
      <w:start w:val="1"/>
      <w:numFmt w:val="decimal"/>
      <w:pStyle w:val="18"/>
      <w:isLgl/>
      <w:suff w:val="nothing"/>
      <w:lvlText w:val="%1.%2."/>
      <w:lvlJc w:val="left"/>
      <w:pPr>
        <w:ind w:left="0" w:firstLine="0"/>
      </w:pPr>
      <w:rPr>
        <w:rFonts w:hint="eastAsia"/>
      </w:rPr>
    </w:lvl>
    <w:lvl w:ilvl="2" w:tentative="0">
      <w:start w:val="1"/>
      <w:numFmt w:val="decimal"/>
      <w:pStyle w:val="19"/>
      <w:suff w:val="nothing"/>
      <w:lvlText w:val="%1.%2.%3."/>
      <w:lvlJc w:val="left"/>
      <w:pPr>
        <w:ind w:left="0" w:firstLine="0"/>
      </w:pPr>
      <w:rPr>
        <w:rFonts w:hint="eastAsia"/>
      </w:rPr>
    </w:lvl>
    <w:lvl w:ilvl="3" w:tentative="0">
      <w:start w:val="1"/>
      <w:numFmt w:val="decimal"/>
      <w:pStyle w:val="20"/>
      <w:suff w:val="nothing"/>
      <w:lvlText w:val="%1.%2.%3.%4."/>
      <w:lvlJc w:val="left"/>
      <w:pPr>
        <w:ind w:left="0" w:firstLine="0"/>
      </w:pPr>
      <w:rPr>
        <w:rFonts w:hint="eastAsia"/>
      </w:rPr>
    </w:lvl>
    <w:lvl w:ilvl="4" w:tentative="0">
      <w:start w:val="1"/>
      <w:numFmt w:val="decimal"/>
      <w:pStyle w:val="6"/>
      <w:suff w:val="nothing"/>
      <w:lvlText w:val="%1.%2.%3.%4.%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EA52904E"/>
    <w:multiLevelType w:val="singleLevel"/>
    <w:tmpl w:val="EA52904E"/>
    <w:lvl w:ilvl="0" w:tentative="0">
      <w:start w:val="1"/>
      <w:numFmt w:val="decimal"/>
      <w:suff w:val="nothing"/>
      <w:lvlText w:val="（%1）"/>
      <w:lvlJc w:val="left"/>
      <w:pPr>
        <w:ind w:left="820" w:hanging="420"/>
      </w:pPr>
      <w:rPr>
        <w:rFonts w:hint="eastAsia"/>
      </w:rPr>
    </w:lvl>
  </w:abstractNum>
  <w:abstractNum w:abstractNumId="2">
    <w:nsid w:val="F4A09264"/>
    <w:multiLevelType w:val="singleLevel"/>
    <w:tmpl w:val="F4A09264"/>
    <w:lvl w:ilvl="0" w:tentative="0">
      <w:start w:val="1"/>
      <w:numFmt w:val="decimal"/>
      <w:suff w:val="nothing"/>
      <w:lvlText w:val="（%1）"/>
      <w:lvlJc w:val="left"/>
      <w:pPr>
        <w:ind w:left="820" w:hanging="420"/>
      </w:pPr>
      <w:rPr>
        <w:rFonts w:hint="eastAsia"/>
      </w:rPr>
    </w:lvl>
  </w:abstractNum>
  <w:abstractNum w:abstractNumId="3">
    <w:nsid w:val="FBC4B6E6"/>
    <w:multiLevelType w:val="multilevel"/>
    <w:tmpl w:val="FBC4B6E6"/>
    <w:lvl w:ilvl="0" w:tentative="0">
      <w:start w:val="1"/>
      <w:numFmt w:val="decimal"/>
      <w:pStyle w:val="2"/>
      <w:suff w:val="nothing"/>
      <w:lvlText w:val="%1."/>
      <w:lvlJc w:val="left"/>
      <w:pPr>
        <w:ind w:left="425" w:hanging="425"/>
      </w:pPr>
      <w:rPr>
        <w:rFonts w:hint="default"/>
      </w:rPr>
    </w:lvl>
    <w:lvl w:ilvl="1" w:tentative="0">
      <w:start w:val="1"/>
      <w:numFmt w:val="decimal"/>
      <w:pStyle w:val="3"/>
      <w:suff w:val="nothing"/>
      <w:lvlText w:val="%1.%2."/>
      <w:lvlJc w:val="left"/>
      <w:pPr>
        <w:ind w:left="567" w:hanging="567"/>
      </w:pPr>
      <w:rPr>
        <w:rFonts w:hint="default"/>
      </w:rPr>
    </w:lvl>
    <w:lvl w:ilvl="2" w:tentative="0">
      <w:start w:val="1"/>
      <w:numFmt w:val="decimal"/>
      <w:pStyle w:val="4"/>
      <w:suff w:val="nothing"/>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09E1C60F"/>
    <w:multiLevelType w:val="singleLevel"/>
    <w:tmpl w:val="09E1C60F"/>
    <w:lvl w:ilvl="0" w:tentative="0">
      <w:start w:val="1"/>
      <w:numFmt w:val="decimal"/>
      <w:suff w:val="nothing"/>
      <w:lvlText w:val="（%1）"/>
      <w:lvlJc w:val="left"/>
      <w:pPr>
        <w:ind w:left="820" w:hanging="420"/>
      </w:pPr>
      <w:rPr>
        <w:rFonts w:hint="eastAsia"/>
      </w:rPr>
    </w:lvl>
  </w:abstractNum>
  <w:abstractNum w:abstractNumId="5">
    <w:nsid w:val="3F077100"/>
    <w:multiLevelType w:val="singleLevel"/>
    <w:tmpl w:val="3F077100"/>
    <w:lvl w:ilvl="0" w:tentative="0">
      <w:start w:val="1"/>
      <w:numFmt w:val="decimal"/>
      <w:suff w:val="nothing"/>
      <w:lvlText w:val="（%1）"/>
      <w:lvlJc w:val="left"/>
      <w:pPr>
        <w:ind w:left="820" w:hanging="420"/>
      </w:pPr>
      <w:rPr>
        <w:rFonts w:hint="eastAsia"/>
      </w:rPr>
    </w:lvl>
  </w:abstractNum>
  <w:abstractNum w:abstractNumId="6">
    <w:nsid w:val="533F5B8F"/>
    <w:multiLevelType w:val="singleLevel"/>
    <w:tmpl w:val="533F5B8F"/>
    <w:lvl w:ilvl="0" w:tentative="0">
      <w:start w:val="1"/>
      <w:numFmt w:val="decimal"/>
      <w:suff w:val="nothing"/>
      <w:lvlText w:val="（%1）"/>
      <w:lvlJc w:val="left"/>
      <w:pPr>
        <w:ind w:left="820" w:hanging="420"/>
      </w:pPr>
      <w:rPr>
        <w:rFonts w:hint="eastAsia"/>
      </w:rPr>
    </w:lvl>
  </w:abstractNum>
  <w:abstractNum w:abstractNumId="7">
    <w:nsid w:val="6ECD74E3"/>
    <w:multiLevelType w:val="multilevel"/>
    <w:tmpl w:val="6ECD74E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8C8"/>
    <w:rsid w:val="0000555E"/>
    <w:rsid w:val="00007A21"/>
    <w:rsid w:val="00015C31"/>
    <w:rsid w:val="00016265"/>
    <w:rsid w:val="00023D64"/>
    <w:rsid w:val="00026EAD"/>
    <w:rsid w:val="00032437"/>
    <w:rsid w:val="00043144"/>
    <w:rsid w:val="00047BAB"/>
    <w:rsid w:val="00051238"/>
    <w:rsid w:val="0005171A"/>
    <w:rsid w:val="000632EC"/>
    <w:rsid w:val="00063D5A"/>
    <w:rsid w:val="00066975"/>
    <w:rsid w:val="0007543E"/>
    <w:rsid w:val="00077990"/>
    <w:rsid w:val="000828A7"/>
    <w:rsid w:val="0008330A"/>
    <w:rsid w:val="00083ED8"/>
    <w:rsid w:val="000843A8"/>
    <w:rsid w:val="000853FE"/>
    <w:rsid w:val="00086C9C"/>
    <w:rsid w:val="0008704D"/>
    <w:rsid w:val="00092BC3"/>
    <w:rsid w:val="00097425"/>
    <w:rsid w:val="000976DB"/>
    <w:rsid w:val="000A102D"/>
    <w:rsid w:val="000A3425"/>
    <w:rsid w:val="000A7EBB"/>
    <w:rsid w:val="000B1B7D"/>
    <w:rsid w:val="000C0D2F"/>
    <w:rsid w:val="000C1BFE"/>
    <w:rsid w:val="000C6372"/>
    <w:rsid w:val="000D65F6"/>
    <w:rsid w:val="000E088F"/>
    <w:rsid w:val="000F26BE"/>
    <w:rsid w:val="00100C5B"/>
    <w:rsid w:val="001102E1"/>
    <w:rsid w:val="00110E24"/>
    <w:rsid w:val="001245F0"/>
    <w:rsid w:val="00126E08"/>
    <w:rsid w:val="001301C0"/>
    <w:rsid w:val="001346F8"/>
    <w:rsid w:val="0013494A"/>
    <w:rsid w:val="00135637"/>
    <w:rsid w:val="00145C1E"/>
    <w:rsid w:val="00162F7D"/>
    <w:rsid w:val="001702CE"/>
    <w:rsid w:val="0017168A"/>
    <w:rsid w:val="001739B3"/>
    <w:rsid w:val="00174590"/>
    <w:rsid w:val="001753E2"/>
    <w:rsid w:val="00175AD6"/>
    <w:rsid w:val="00176DE2"/>
    <w:rsid w:val="001815A3"/>
    <w:rsid w:val="0018374B"/>
    <w:rsid w:val="00184F7D"/>
    <w:rsid w:val="00185473"/>
    <w:rsid w:val="0019000D"/>
    <w:rsid w:val="0019336E"/>
    <w:rsid w:val="001A1911"/>
    <w:rsid w:val="001A2501"/>
    <w:rsid w:val="001A3E2D"/>
    <w:rsid w:val="001A552F"/>
    <w:rsid w:val="001B14FA"/>
    <w:rsid w:val="001B74E6"/>
    <w:rsid w:val="001E0EF8"/>
    <w:rsid w:val="001F0B2B"/>
    <w:rsid w:val="00205D58"/>
    <w:rsid w:val="0021481F"/>
    <w:rsid w:val="00217A9E"/>
    <w:rsid w:val="00222DB4"/>
    <w:rsid w:val="0022542C"/>
    <w:rsid w:val="002303AD"/>
    <w:rsid w:val="00233BFA"/>
    <w:rsid w:val="002377D0"/>
    <w:rsid w:val="00241568"/>
    <w:rsid w:val="00241B78"/>
    <w:rsid w:val="00244264"/>
    <w:rsid w:val="002579A5"/>
    <w:rsid w:val="002617C8"/>
    <w:rsid w:val="00284213"/>
    <w:rsid w:val="0029501C"/>
    <w:rsid w:val="002A07B5"/>
    <w:rsid w:val="002A1A5E"/>
    <w:rsid w:val="002C4449"/>
    <w:rsid w:val="002C62F1"/>
    <w:rsid w:val="002C7C41"/>
    <w:rsid w:val="002C7D60"/>
    <w:rsid w:val="002D0E5A"/>
    <w:rsid w:val="002D3833"/>
    <w:rsid w:val="002D3AFD"/>
    <w:rsid w:val="002D4A10"/>
    <w:rsid w:val="002D5845"/>
    <w:rsid w:val="002E2FD6"/>
    <w:rsid w:val="002E3863"/>
    <w:rsid w:val="002E5D3D"/>
    <w:rsid w:val="002E5E6F"/>
    <w:rsid w:val="002E724A"/>
    <w:rsid w:val="002F1D75"/>
    <w:rsid w:val="002F60F6"/>
    <w:rsid w:val="002F7729"/>
    <w:rsid w:val="00302BD6"/>
    <w:rsid w:val="003124C9"/>
    <w:rsid w:val="00314479"/>
    <w:rsid w:val="0031547E"/>
    <w:rsid w:val="00317659"/>
    <w:rsid w:val="00331CA0"/>
    <w:rsid w:val="00334199"/>
    <w:rsid w:val="00335D8D"/>
    <w:rsid w:val="0034490F"/>
    <w:rsid w:val="0034784F"/>
    <w:rsid w:val="003514E8"/>
    <w:rsid w:val="003544ED"/>
    <w:rsid w:val="00354C31"/>
    <w:rsid w:val="003629CC"/>
    <w:rsid w:val="003664A8"/>
    <w:rsid w:val="00367B9D"/>
    <w:rsid w:val="00391AF5"/>
    <w:rsid w:val="00391F30"/>
    <w:rsid w:val="00393479"/>
    <w:rsid w:val="003947BB"/>
    <w:rsid w:val="00395AFE"/>
    <w:rsid w:val="00396034"/>
    <w:rsid w:val="0039699B"/>
    <w:rsid w:val="003A43CA"/>
    <w:rsid w:val="003B42DF"/>
    <w:rsid w:val="003B643A"/>
    <w:rsid w:val="003C5618"/>
    <w:rsid w:val="003C7196"/>
    <w:rsid w:val="003C7DF8"/>
    <w:rsid w:val="003D1736"/>
    <w:rsid w:val="003D4364"/>
    <w:rsid w:val="003D4CD0"/>
    <w:rsid w:val="003D556D"/>
    <w:rsid w:val="003D5B53"/>
    <w:rsid w:val="003E48D9"/>
    <w:rsid w:val="003E4F9D"/>
    <w:rsid w:val="003F5406"/>
    <w:rsid w:val="003F5D41"/>
    <w:rsid w:val="00406E72"/>
    <w:rsid w:val="00415661"/>
    <w:rsid w:val="00416D41"/>
    <w:rsid w:val="0042661B"/>
    <w:rsid w:val="004307DF"/>
    <w:rsid w:val="00440C7B"/>
    <w:rsid w:val="0045571A"/>
    <w:rsid w:val="00455E94"/>
    <w:rsid w:val="004563FD"/>
    <w:rsid w:val="004566CF"/>
    <w:rsid w:val="00465B59"/>
    <w:rsid w:val="00471441"/>
    <w:rsid w:val="00472626"/>
    <w:rsid w:val="00477CD3"/>
    <w:rsid w:val="0048442C"/>
    <w:rsid w:val="00485F4F"/>
    <w:rsid w:val="0048618E"/>
    <w:rsid w:val="00486871"/>
    <w:rsid w:val="0049241C"/>
    <w:rsid w:val="004A39B3"/>
    <w:rsid w:val="004A750B"/>
    <w:rsid w:val="004B0EF2"/>
    <w:rsid w:val="004B1B48"/>
    <w:rsid w:val="004B1FE5"/>
    <w:rsid w:val="004B2297"/>
    <w:rsid w:val="004B2436"/>
    <w:rsid w:val="004B2B21"/>
    <w:rsid w:val="004C23ED"/>
    <w:rsid w:val="004D368E"/>
    <w:rsid w:val="004E26DD"/>
    <w:rsid w:val="004E725F"/>
    <w:rsid w:val="004F0256"/>
    <w:rsid w:val="004F0312"/>
    <w:rsid w:val="00505BE2"/>
    <w:rsid w:val="005104D8"/>
    <w:rsid w:val="00510D04"/>
    <w:rsid w:val="0051594D"/>
    <w:rsid w:val="0052022B"/>
    <w:rsid w:val="005211EA"/>
    <w:rsid w:val="00523965"/>
    <w:rsid w:val="00531669"/>
    <w:rsid w:val="00540340"/>
    <w:rsid w:val="005430AF"/>
    <w:rsid w:val="0054568D"/>
    <w:rsid w:val="00552C88"/>
    <w:rsid w:val="005544CB"/>
    <w:rsid w:val="00561132"/>
    <w:rsid w:val="00566940"/>
    <w:rsid w:val="00570502"/>
    <w:rsid w:val="00572FA1"/>
    <w:rsid w:val="00580AAF"/>
    <w:rsid w:val="00584437"/>
    <w:rsid w:val="00586387"/>
    <w:rsid w:val="00592981"/>
    <w:rsid w:val="00593706"/>
    <w:rsid w:val="005A1A5F"/>
    <w:rsid w:val="005A4A6B"/>
    <w:rsid w:val="005A54E9"/>
    <w:rsid w:val="005A6DCF"/>
    <w:rsid w:val="005B13E5"/>
    <w:rsid w:val="005B519E"/>
    <w:rsid w:val="005B5F8B"/>
    <w:rsid w:val="005C1224"/>
    <w:rsid w:val="005C46F7"/>
    <w:rsid w:val="005C6BD4"/>
    <w:rsid w:val="005D1A99"/>
    <w:rsid w:val="005D3647"/>
    <w:rsid w:val="005E1B61"/>
    <w:rsid w:val="00604FB3"/>
    <w:rsid w:val="00622ADD"/>
    <w:rsid w:val="00622B6E"/>
    <w:rsid w:val="00623CE8"/>
    <w:rsid w:val="0062591F"/>
    <w:rsid w:val="00633540"/>
    <w:rsid w:val="00636766"/>
    <w:rsid w:val="00644E24"/>
    <w:rsid w:val="00647C99"/>
    <w:rsid w:val="006638F1"/>
    <w:rsid w:val="006651C8"/>
    <w:rsid w:val="00666D12"/>
    <w:rsid w:val="0067310B"/>
    <w:rsid w:val="006751F3"/>
    <w:rsid w:val="00675558"/>
    <w:rsid w:val="00681314"/>
    <w:rsid w:val="006854EA"/>
    <w:rsid w:val="006862E1"/>
    <w:rsid w:val="0068767F"/>
    <w:rsid w:val="00687D0B"/>
    <w:rsid w:val="006918D1"/>
    <w:rsid w:val="006A1C20"/>
    <w:rsid w:val="006A304B"/>
    <w:rsid w:val="006A3B7F"/>
    <w:rsid w:val="006B0420"/>
    <w:rsid w:val="006B0D94"/>
    <w:rsid w:val="006B6AF0"/>
    <w:rsid w:val="006C0E0B"/>
    <w:rsid w:val="006C4856"/>
    <w:rsid w:val="006C6DE4"/>
    <w:rsid w:val="006D111C"/>
    <w:rsid w:val="006D43C3"/>
    <w:rsid w:val="006E04FB"/>
    <w:rsid w:val="006E05BE"/>
    <w:rsid w:val="006E2C09"/>
    <w:rsid w:val="006E2FEE"/>
    <w:rsid w:val="006F225C"/>
    <w:rsid w:val="00706342"/>
    <w:rsid w:val="007076CF"/>
    <w:rsid w:val="00713C51"/>
    <w:rsid w:val="00720C38"/>
    <w:rsid w:val="0072336D"/>
    <w:rsid w:val="00726330"/>
    <w:rsid w:val="007307E3"/>
    <w:rsid w:val="00735BDF"/>
    <w:rsid w:val="00736337"/>
    <w:rsid w:val="0074645D"/>
    <w:rsid w:val="0075483E"/>
    <w:rsid w:val="00755E96"/>
    <w:rsid w:val="00771386"/>
    <w:rsid w:val="00781DB2"/>
    <w:rsid w:val="00786F12"/>
    <w:rsid w:val="0079042B"/>
    <w:rsid w:val="0079056C"/>
    <w:rsid w:val="00792AE1"/>
    <w:rsid w:val="007A51B4"/>
    <w:rsid w:val="007A5295"/>
    <w:rsid w:val="007B0784"/>
    <w:rsid w:val="007B190D"/>
    <w:rsid w:val="007B23D5"/>
    <w:rsid w:val="007B6ABA"/>
    <w:rsid w:val="007C2217"/>
    <w:rsid w:val="007C5966"/>
    <w:rsid w:val="007D7CAA"/>
    <w:rsid w:val="007E1FF4"/>
    <w:rsid w:val="007E2BE0"/>
    <w:rsid w:val="007E7648"/>
    <w:rsid w:val="007F1F8E"/>
    <w:rsid w:val="007F284A"/>
    <w:rsid w:val="007F64CE"/>
    <w:rsid w:val="00802851"/>
    <w:rsid w:val="00804984"/>
    <w:rsid w:val="0080706A"/>
    <w:rsid w:val="0080738F"/>
    <w:rsid w:val="00821C29"/>
    <w:rsid w:val="00824E22"/>
    <w:rsid w:val="00835113"/>
    <w:rsid w:val="00843C2C"/>
    <w:rsid w:val="00846183"/>
    <w:rsid w:val="008463E2"/>
    <w:rsid w:val="00851B9F"/>
    <w:rsid w:val="0085395B"/>
    <w:rsid w:val="00862D28"/>
    <w:rsid w:val="008632DE"/>
    <w:rsid w:val="00863BB9"/>
    <w:rsid w:val="008672AA"/>
    <w:rsid w:val="00884BE8"/>
    <w:rsid w:val="008911B7"/>
    <w:rsid w:val="008914AB"/>
    <w:rsid w:val="008A501C"/>
    <w:rsid w:val="008B59D2"/>
    <w:rsid w:val="008C0494"/>
    <w:rsid w:val="008C23FA"/>
    <w:rsid w:val="008D3B52"/>
    <w:rsid w:val="008D4076"/>
    <w:rsid w:val="008D423D"/>
    <w:rsid w:val="008E6366"/>
    <w:rsid w:val="008F79F0"/>
    <w:rsid w:val="00901E33"/>
    <w:rsid w:val="0090401E"/>
    <w:rsid w:val="00904E68"/>
    <w:rsid w:val="00905AC3"/>
    <w:rsid w:val="00910974"/>
    <w:rsid w:val="00913658"/>
    <w:rsid w:val="00914A95"/>
    <w:rsid w:val="00925186"/>
    <w:rsid w:val="00933371"/>
    <w:rsid w:val="00934E98"/>
    <w:rsid w:val="0093617A"/>
    <w:rsid w:val="00942188"/>
    <w:rsid w:val="00950A7A"/>
    <w:rsid w:val="00952078"/>
    <w:rsid w:val="00952362"/>
    <w:rsid w:val="009674D5"/>
    <w:rsid w:val="00972EE0"/>
    <w:rsid w:val="009804C6"/>
    <w:rsid w:val="009815AD"/>
    <w:rsid w:val="00985B97"/>
    <w:rsid w:val="00992A66"/>
    <w:rsid w:val="009B715F"/>
    <w:rsid w:val="009C6297"/>
    <w:rsid w:val="009C68C3"/>
    <w:rsid w:val="009D3DAF"/>
    <w:rsid w:val="009F23A9"/>
    <w:rsid w:val="009F4971"/>
    <w:rsid w:val="009F60A6"/>
    <w:rsid w:val="00A01332"/>
    <w:rsid w:val="00A056C8"/>
    <w:rsid w:val="00A05A30"/>
    <w:rsid w:val="00A12CC4"/>
    <w:rsid w:val="00A12D39"/>
    <w:rsid w:val="00A13995"/>
    <w:rsid w:val="00A15C71"/>
    <w:rsid w:val="00A16ABD"/>
    <w:rsid w:val="00A173D3"/>
    <w:rsid w:val="00A40039"/>
    <w:rsid w:val="00A45D19"/>
    <w:rsid w:val="00A518A6"/>
    <w:rsid w:val="00A565F6"/>
    <w:rsid w:val="00A567F9"/>
    <w:rsid w:val="00A64DD6"/>
    <w:rsid w:val="00A671B0"/>
    <w:rsid w:val="00A741E6"/>
    <w:rsid w:val="00A8190C"/>
    <w:rsid w:val="00A81F15"/>
    <w:rsid w:val="00A86E7E"/>
    <w:rsid w:val="00A921AD"/>
    <w:rsid w:val="00A930AD"/>
    <w:rsid w:val="00A96964"/>
    <w:rsid w:val="00AA25F9"/>
    <w:rsid w:val="00AA447B"/>
    <w:rsid w:val="00AA55B0"/>
    <w:rsid w:val="00AA5636"/>
    <w:rsid w:val="00AB133F"/>
    <w:rsid w:val="00AC5B30"/>
    <w:rsid w:val="00AC743E"/>
    <w:rsid w:val="00AD0791"/>
    <w:rsid w:val="00AD77C6"/>
    <w:rsid w:val="00AE016E"/>
    <w:rsid w:val="00AE0839"/>
    <w:rsid w:val="00AE73B3"/>
    <w:rsid w:val="00AF2088"/>
    <w:rsid w:val="00AF3905"/>
    <w:rsid w:val="00AF5219"/>
    <w:rsid w:val="00B00D20"/>
    <w:rsid w:val="00B02B5D"/>
    <w:rsid w:val="00B033BE"/>
    <w:rsid w:val="00B062B9"/>
    <w:rsid w:val="00B07BC2"/>
    <w:rsid w:val="00B122C9"/>
    <w:rsid w:val="00B1568A"/>
    <w:rsid w:val="00B161E9"/>
    <w:rsid w:val="00B20AB0"/>
    <w:rsid w:val="00B2465C"/>
    <w:rsid w:val="00B24732"/>
    <w:rsid w:val="00B32BAE"/>
    <w:rsid w:val="00B40777"/>
    <w:rsid w:val="00B53144"/>
    <w:rsid w:val="00B54DA4"/>
    <w:rsid w:val="00B624D9"/>
    <w:rsid w:val="00B6361B"/>
    <w:rsid w:val="00B649E1"/>
    <w:rsid w:val="00B71D43"/>
    <w:rsid w:val="00B96A84"/>
    <w:rsid w:val="00BB2ACB"/>
    <w:rsid w:val="00BB494B"/>
    <w:rsid w:val="00BB567A"/>
    <w:rsid w:val="00BB72E2"/>
    <w:rsid w:val="00BD3136"/>
    <w:rsid w:val="00BD3B4A"/>
    <w:rsid w:val="00BE1D62"/>
    <w:rsid w:val="00BE4BA2"/>
    <w:rsid w:val="00BF179D"/>
    <w:rsid w:val="00BF4AD8"/>
    <w:rsid w:val="00C0663C"/>
    <w:rsid w:val="00C0757F"/>
    <w:rsid w:val="00C11BBD"/>
    <w:rsid w:val="00C14695"/>
    <w:rsid w:val="00C27106"/>
    <w:rsid w:val="00C36D84"/>
    <w:rsid w:val="00C518C8"/>
    <w:rsid w:val="00C5203A"/>
    <w:rsid w:val="00C524F0"/>
    <w:rsid w:val="00C574E7"/>
    <w:rsid w:val="00C600A0"/>
    <w:rsid w:val="00C62CB9"/>
    <w:rsid w:val="00C746E6"/>
    <w:rsid w:val="00C74BFF"/>
    <w:rsid w:val="00C76199"/>
    <w:rsid w:val="00C76468"/>
    <w:rsid w:val="00C76D08"/>
    <w:rsid w:val="00C80506"/>
    <w:rsid w:val="00C86358"/>
    <w:rsid w:val="00C922C7"/>
    <w:rsid w:val="00C94C95"/>
    <w:rsid w:val="00C95FFC"/>
    <w:rsid w:val="00CA1E1C"/>
    <w:rsid w:val="00CA29CD"/>
    <w:rsid w:val="00CA4522"/>
    <w:rsid w:val="00CB064C"/>
    <w:rsid w:val="00CB1F59"/>
    <w:rsid w:val="00CB3E76"/>
    <w:rsid w:val="00CB4238"/>
    <w:rsid w:val="00CC15A7"/>
    <w:rsid w:val="00CC3160"/>
    <w:rsid w:val="00CD310E"/>
    <w:rsid w:val="00CE02AD"/>
    <w:rsid w:val="00CE54CA"/>
    <w:rsid w:val="00CF02A3"/>
    <w:rsid w:val="00D040B7"/>
    <w:rsid w:val="00D10A0A"/>
    <w:rsid w:val="00D11E41"/>
    <w:rsid w:val="00D12943"/>
    <w:rsid w:val="00D162AE"/>
    <w:rsid w:val="00D20704"/>
    <w:rsid w:val="00D265E2"/>
    <w:rsid w:val="00D30542"/>
    <w:rsid w:val="00D35A75"/>
    <w:rsid w:val="00D40463"/>
    <w:rsid w:val="00D40D62"/>
    <w:rsid w:val="00D4104A"/>
    <w:rsid w:val="00D42AB1"/>
    <w:rsid w:val="00D443F5"/>
    <w:rsid w:val="00D46CD8"/>
    <w:rsid w:val="00D55091"/>
    <w:rsid w:val="00D73DA6"/>
    <w:rsid w:val="00D7496A"/>
    <w:rsid w:val="00D76D13"/>
    <w:rsid w:val="00D812AB"/>
    <w:rsid w:val="00D9354E"/>
    <w:rsid w:val="00DC4223"/>
    <w:rsid w:val="00DC4BA3"/>
    <w:rsid w:val="00DE7BE1"/>
    <w:rsid w:val="00DF03E9"/>
    <w:rsid w:val="00DF0422"/>
    <w:rsid w:val="00DF0CF8"/>
    <w:rsid w:val="00DF4316"/>
    <w:rsid w:val="00DF5827"/>
    <w:rsid w:val="00E034EA"/>
    <w:rsid w:val="00E03D13"/>
    <w:rsid w:val="00E11001"/>
    <w:rsid w:val="00E112EF"/>
    <w:rsid w:val="00E20C4D"/>
    <w:rsid w:val="00E267E8"/>
    <w:rsid w:val="00E271DD"/>
    <w:rsid w:val="00E2784C"/>
    <w:rsid w:val="00E321D1"/>
    <w:rsid w:val="00E33A09"/>
    <w:rsid w:val="00E3419E"/>
    <w:rsid w:val="00E36A86"/>
    <w:rsid w:val="00E439AD"/>
    <w:rsid w:val="00E456B9"/>
    <w:rsid w:val="00E4635F"/>
    <w:rsid w:val="00E477C3"/>
    <w:rsid w:val="00E51704"/>
    <w:rsid w:val="00E525BD"/>
    <w:rsid w:val="00E65EFC"/>
    <w:rsid w:val="00E76916"/>
    <w:rsid w:val="00E87FA9"/>
    <w:rsid w:val="00E9020A"/>
    <w:rsid w:val="00E96E86"/>
    <w:rsid w:val="00E97E62"/>
    <w:rsid w:val="00EA2AC1"/>
    <w:rsid w:val="00EA2B09"/>
    <w:rsid w:val="00EA369D"/>
    <w:rsid w:val="00EA45A6"/>
    <w:rsid w:val="00EA7863"/>
    <w:rsid w:val="00EB3623"/>
    <w:rsid w:val="00EB79E2"/>
    <w:rsid w:val="00EC02F1"/>
    <w:rsid w:val="00EC15F7"/>
    <w:rsid w:val="00EE0093"/>
    <w:rsid w:val="00EE2F75"/>
    <w:rsid w:val="00EE5D22"/>
    <w:rsid w:val="00EE6532"/>
    <w:rsid w:val="00EF3EA5"/>
    <w:rsid w:val="00EF5387"/>
    <w:rsid w:val="00F01779"/>
    <w:rsid w:val="00F0519B"/>
    <w:rsid w:val="00F17EEC"/>
    <w:rsid w:val="00F21F7D"/>
    <w:rsid w:val="00F22B5A"/>
    <w:rsid w:val="00F25B43"/>
    <w:rsid w:val="00F31C7C"/>
    <w:rsid w:val="00F352C3"/>
    <w:rsid w:val="00F42CC5"/>
    <w:rsid w:val="00F47E57"/>
    <w:rsid w:val="00F57CE5"/>
    <w:rsid w:val="00F601F6"/>
    <w:rsid w:val="00F62B3D"/>
    <w:rsid w:val="00F66A14"/>
    <w:rsid w:val="00F71E49"/>
    <w:rsid w:val="00F815B4"/>
    <w:rsid w:val="00F82D0F"/>
    <w:rsid w:val="00F8540F"/>
    <w:rsid w:val="00F8676E"/>
    <w:rsid w:val="00F87E47"/>
    <w:rsid w:val="00F87EAD"/>
    <w:rsid w:val="00F95874"/>
    <w:rsid w:val="00FA0A25"/>
    <w:rsid w:val="00FA5174"/>
    <w:rsid w:val="00FB368E"/>
    <w:rsid w:val="00FC143A"/>
    <w:rsid w:val="00FC1A22"/>
    <w:rsid w:val="00FC3EA6"/>
    <w:rsid w:val="00FC47DB"/>
    <w:rsid w:val="00FC65BD"/>
    <w:rsid w:val="00FE2808"/>
    <w:rsid w:val="010D427B"/>
    <w:rsid w:val="011D2710"/>
    <w:rsid w:val="01311D17"/>
    <w:rsid w:val="018F287C"/>
    <w:rsid w:val="0195764A"/>
    <w:rsid w:val="01BD17FD"/>
    <w:rsid w:val="01D628BE"/>
    <w:rsid w:val="01DA20AA"/>
    <w:rsid w:val="01E1319E"/>
    <w:rsid w:val="01E66FA5"/>
    <w:rsid w:val="024E73C1"/>
    <w:rsid w:val="026E2AF7"/>
    <w:rsid w:val="027D71DE"/>
    <w:rsid w:val="02846ED2"/>
    <w:rsid w:val="02EB239A"/>
    <w:rsid w:val="02EB4148"/>
    <w:rsid w:val="02F2197A"/>
    <w:rsid w:val="02FE3E7B"/>
    <w:rsid w:val="03095A65"/>
    <w:rsid w:val="032C4E8C"/>
    <w:rsid w:val="037C1244"/>
    <w:rsid w:val="03BE185C"/>
    <w:rsid w:val="03C86237"/>
    <w:rsid w:val="03E428A3"/>
    <w:rsid w:val="041D20C7"/>
    <w:rsid w:val="04357D70"/>
    <w:rsid w:val="04402271"/>
    <w:rsid w:val="04561AEE"/>
    <w:rsid w:val="04787C5D"/>
    <w:rsid w:val="04812FB5"/>
    <w:rsid w:val="04934A97"/>
    <w:rsid w:val="04EB099C"/>
    <w:rsid w:val="04ED23F9"/>
    <w:rsid w:val="05157BA2"/>
    <w:rsid w:val="053840F0"/>
    <w:rsid w:val="056D178C"/>
    <w:rsid w:val="058E3C0E"/>
    <w:rsid w:val="05D2339D"/>
    <w:rsid w:val="05DE40B7"/>
    <w:rsid w:val="05E65BAD"/>
    <w:rsid w:val="06345E06"/>
    <w:rsid w:val="06377E97"/>
    <w:rsid w:val="06513245"/>
    <w:rsid w:val="06744454"/>
    <w:rsid w:val="067A4160"/>
    <w:rsid w:val="069A751C"/>
    <w:rsid w:val="069B5E85"/>
    <w:rsid w:val="06A25465"/>
    <w:rsid w:val="06DF3FC3"/>
    <w:rsid w:val="070103DE"/>
    <w:rsid w:val="07750484"/>
    <w:rsid w:val="077A743F"/>
    <w:rsid w:val="07A1571D"/>
    <w:rsid w:val="07DC5543"/>
    <w:rsid w:val="07DD6ABC"/>
    <w:rsid w:val="07FF749D"/>
    <w:rsid w:val="08191757"/>
    <w:rsid w:val="082C0402"/>
    <w:rsid w:val="083D5445"/>
    <w:rsid w:val="085207C5"/>
    <w:rsid w:val="08580653"/>
    <w:rsid w:val="086A3D60"/>
    <w:rsid w:val="08C6775B"/>
    <w:rsid w:val="08E21B49"/>
    <w:rsid w:val="08FF033D"/>
    <w:rsid w:val="0926237D"/>
    <w:rsid w:val="097613B4"/>
    <w:rsid w:val="09AF5ECF"/>
    <w:rsid w:val="09CF6571"/>
    <w:rsid w:val="0A014251"/>
    <w:rsid w:val="0A3E7253"/>
    <w:rsid w:val="0A4212FE"/>
    <w:rsid w:val="0A801619"/>
    <w:rsid w:val="0AA95014"/>
    <w:rsid w:val="0AD656DD"/>
    <w:rsid w:val="0B161F7E"/>
    <w:rsid w:val="0B27721B"/>
    <w:rsid w:val="0B281528"/>
    <w:rsid w:val="0B872A8F"/>
    <w:rsid w:val="0BA47589"/>
    <w:rsid w:val="0BDA2FAB"/>
    <w:rsid w:val="0BE502CE"/>
    <w:rsid w:val="0BEF5C9E"/>
    <w:rsid w:val="0C097CD5"/>
    <w:rsid w:val="0C0D512F"/>
    <w:rsid w:val="0C1C357A"/>
    <w:rsid w:val="0C232BA4"/>
    <w:rsid w:val="0C2B3807"/>
    <w:rsid w:val="0C347E14"/>
    <w:rsid w:val="0C4F3999"/>
    <w:rsid w:val="0CA02447"/>
    <w:rsid w:val="0CCF0636"/>
    <w:rsid w:val="0CD36378"/>
    <w:rsid w:val="0CD914B5"/>
    <w:rsid w:val="0D3B3F1D"/>
    <w:rsid w:val="0D3D5EE8"/>
    <w:rsid w:val="0D611BD6"/>
    <w:rsid w:val="0D814026"/>
    <w:rsid w:val="0D9A50E8"/>
    <w:rsid w:val="0E4B63E2"/>
    <w:rsid w:val="0E550E35"/>
    <w:rsid w:val="0E793654"/>
    <w:rsid w:val="0E9D4E90"/>
    <w:rsid w:val="0EBF6523"/>
    <w:rsid w:val="0F1C1228"/>
    <w:rsid w:val="0F3059E5"/>
    <w:rsid w:val="0F56503F"/>
    <w:rsid w:val="0FAB0EE6"/>
    <w:rsid w:val="0FD22C29"/>
    <w:rsid w:val="0FDF5034"/>
    <w:rsid w:val="0FEE5277"/>
    <w:rsid w:val="100D0E21"/>
    <w:rsid w:val="100D1BA1"/>
    <w:rsid w:val="101E19B6"/>
    <w:rsid w:val="102869DB"/>
    <w:rsid w:val="106043C7"/>
    <w:rsid w:val="106F1A56"/>
    <w:rsid w:val="10757746"/>
    <w:rsid w:val="113D2012"/>
    <w:rsid w:val="1142587A"/>
    <w:rsid w:val="11516C3A"/>
    <w:rsid w:val="11851C0B"/>
    <w:rsid w:val="1193258B"/>
    <w:rsid w:val="119333A6"/>
    <w:rsid w:val="119F0F1F"/>
    <w:rsid w:val="11A2456B"/>
    <w:rsid w:val="11B12A00"/>
    <w:rsid w:val="11F528ED"/>
    <w:rsid w:val="11F9009B"/>
    <w:rsid w:val="12241424"/>
    <w:rsid w:val="12485112"/>
    <w:rsid w:val="124D44D7"/>
    <w:rsid w:val="12C16C73"/>
    <w:rsid w:val="130C4392"/>
    <w:rsid w:val="13272BE8"/>
    <w:rsid w:val="139F6FB4"/>
    <w:rsid w:val="13C767F9"/>
    <w:rsid w:val="13FB7F63"/>
    <w:rsid w:val="142E67E6"/>
    <w:rsid w:val="144573F9"/>
    <w:rsid w:val="145A413C"/>
    <w:rsid w:val="14705EDE"/>
    <w:rsid w:val="14A94E7C"/>
    <w:rsid w:val="14C8078D"/>
    <w:rsid w:val="151C63E2"/>
    <w:rsid w:val="159031C0"/>
    <w:rsid w:val="15A46B04"/>
    <w:rsid w:val="16040312"/>
    <w:rsid w:val="16257519"/>
    <w:rsid w:val="16283ABA"/>
    <w:rsid w:val="16353C00"/>
    <w:rsid w:val="163F05DA"/>
    <w:rsid w:val="16601997"/>
    <w:rsid w:val="168129A1"/>
    <w:rsid w:val="16930926"/>
    <w:rsid w:val="16B307F7"/>
    <w:rsid w:val="16C62AAA"/>
    <w:rsid w:val="176D1177"/>
    <w:rsid w:val="181A30AD"/>
    <w:rsid w:val="181E6800"/>
    <w:rsid w:val="18FE652B"/>
    <w:rsid w:val="19362169"/>
    <w:rsid w:val="193E2DCB"/>
    <w:rsid w:val="19543820"/>
    <w:rsid w:val="196071E6"/>
    <w:rsid w:val="19704F4F"/>
    <w:rsid w:val="19785E7E"/>
    <w:rsid w:val="199221EE"/>
    <w:rsid w:val="19A80E82"/>
    <w:rsid w:val="19ED659F"/>
    <w:rsid w:val="1A4F2DB6"/>
    <w:rsid w:val="1A541902"/>
    <w:rsid w:val="1AB8095B"/>
    <w:rsid w:val="1B0D514B"/>
    <w:rsid w:val="1B813443"/>
    <w:rsid w:val="1B8D1DE8"/>
    <w:rsid w:val="1B8D6544"/>
    <w:rsid w:val="1BB9498B"/>
    <w:rsid w:val="1BC51582"/>
    <w:rsid w:val="1BCD48DA"/>
    <w:rsid w:val="1BD6378F"/>
    <w:rsid w:val="1BEE499C"/>
    <w:rsid w:val="1BFF71F2"/>
    <w:rsid w:val="1C1B73F4"/>
    <w:rsid w:val="1C2F4C4D"/>
    <w:rsid w:val="1C817B9F"/>
    <w:rsid w:val="1CA05B4B"/>
    <w:rsid w:val="1CA14F1F"/>
    <w:rsid w:val="1CAC5703"/>
    <w:rsid w:val="1CB05D8E"/>
    <w:rsid w:val="1CD6156D"/>
    <w:rsid w:val="1D1524E5"/>
    <w:rsid w:val="1DA579CF"/>
    <w:rsid w:val="1DB57D82"/>
    <w:rsid w:val="1DF95513"/>
    <w:rsid w:val="1E0A3BC4"/>
    <w:rsid w:val="1E171E3D"/>
    <w:rsid w:val="1E1D56A5"/>
    <w:rsid w:val="1E756685"/>
    <w:rsid w:val="1EC64A9D"/>
    <w:rsid w:val="1ECC2C27"/>
    <w:rsid w:val="1EE75CB3"/>
    <w:rsid w:val="1EF81C6E"/>
    <w:rsid w:val="1F6044B3"/>
    <w:rsid w:val="1FDB75C6"/>
    <w:rsid w:val="1FEB3581"/>
    <w:rsid w:val="20127E87"/>
    <w:rsid w:val="203D202F"/>
    <w:rsid w:val="20553D25"/>
    <w:rsid w:val="207672EF"/>
    <w:rsid w:val="207D067D"/>
    <w:rsid w:val="20A025BE"/>
    <w:rsid w:val="20AC2D10"/>
    <w:rsid w:val="20EC794F"/>
    <w:rsid w:val="213D4496"/>
    <w:rsid w:val="21703D3E"/>
    <w:rsid w:val="217759EE"/>
    <w:rsid w:val="219A0DBB"/>
    <w:rsid w:val="21BF4CC5"/>
    <w:rsid w:val="21D342CD"/>
    <w:rsid w:val="22322E8D"/>
    <w:rsid w:val="225B2C40"/>
    <w:rsid w:val="22721D38"/>
    <w:rsid w:val="22723AE6"/>
    <w:rsid w:val="2298203B"/>
    <w:rsid w:val="22F028ED"/>
    <w:rsid w:val="23024E6A"/>
    <w:rsid w:val="23046E34"/>
    <w:rsid w:val="234C4162"/>
    <w:rsid w:val="23720241"/>
    <w:rsid w:val="23775858"/>
    <w:rsid w:val="23921F6D"/>
    <w:rsid w:val="23A777BF"/>
    <w:rsid w:val="23A93537"/>
    <w:rsid w:val="23B75C54"/>
    <w:rsid w:val="23C16AD3"/>
    <w:rsid w:val="23C465C3"/>
    <w:rsid w:val="23D07225"/>
    <w:rsid w:val="242B1AE0"/>
    <w:rsid w:val="24373239"/>
    <w:rsid w:val="24563A88"/>
    <w:rsid w:val="245A04CE"/>
    <w:rsid w:val="24653902"/>
    <w:rsid w:val="24B77ED6"/>
    <w:rsid w:val="24BC54EC"/>
    <w:rsid w:val="254B6F9C"/>
    <w:rsid w:val="254F010E"/>
    <w:rsid w:val="257B14DB"/>
    <w:rsid w:val="25B05051"/>
    <w:rsid w:val="25F5515A"/>
    <w:rsid w:val="26103D41"/>
    <w:rsid w:val="26261CCC"/>
    <w:rsid w:val="26323CB8"/>
    <w:rsid w:val="264A1001"/>
    <w:rsid w:val="2650413E"/>
    <w:rsid w:val="26562782"/>
    <w:rsid w:val="266A57CB"/>
    <w:rsid w:val="268111EF"/>
    <w:rsid w:val="2685119E"/>
    <w:rsid w:val="26E608F3"/>
    <w:rsid w:val="26EE4083"/>
    <w:rsid w:val="2729330D"/>
    <w:rsid w:val="274912B9"/>
    <w:rsid w:val="27567D73"/>
    <w:rsid w:val="2791653E"/>
    <w:rsid w:val="27B506FD"/>
    <w:rsid w:val="27C32B0E"/>
    <w:rsid w:val="27CB6172"/>
    <w:rsid w:val="27E9484A"/>
    <w:rsid w:val="28180C8B"/>
    <w:rsid w:val="282C4737"/>
    <w:rsid w:val="285A5748"/>
    <w:rsid w:val="28894A34"/>
    <w:rsid w:val="28941528"/>
    <w:rsid w:val="28941E69"/>
    <w:rsid w:val="28AF15F0"/>
    <w:rsid w:val="28B210E0"/>
    <w:rsid w:val="28FB2506"/>
    <w:rsid w:val="290D6316"/>
    <w:rsid w:val="295F6FD6"/>
    <w:rsid w:val="29693E94"/>
    <w:rsid w:val="29C2448F"/>
    <w:rsid w:val="29C516C1"/>
    <w:rsid w:val="29C60960"/>
    <w:rsid w:val="29EC2E55"/>
    <w:rsid w:val="2A1762FC"/>
    <w:rsid w:val="2A585CB7"/>
    <w:rsid w:val="2A8B1BE9"/>
    <w:rsid w:val="2A97233B"/>
    <w:rsid w:val="2ACE1AD5"/>
    <w:rsid w:val="2B485D2C"/>
    <w:rsid w:val="2B817E3F"/>
    <w:rsid w:val="2BC96E6C"/>
    <w:rsid w:val="2C041527"/>
    <w:rsid w:val="2C1B6F9C"/>
    <w:rsid w:val="2C2C2F57"/>
    <w:rsid w:val="2C2D76BD"/>
    <w:rsid w:val="2C5801F0"/>
    <w:rsid w:val="2C676EB0"/>
    <w:rsid w:val="2C7C3EDF"/>
    <w:rsid w:val="2C932FD6"/>
    <w:rsid w:val="2CC056E2"/>
    <w:rsid w:val="2CCE0331"/>
    <w:rsid w:val="2CD8653A"/>
    <w:rsid w:val="2D3E1749"/>
    <w:rsid w:val="2D5B1D46"/>
    <w:rsid w:val="2D614EDD"/>
    <w:rsid w:val="2D726292"/>
    <w:rsid w:val="2D922480"/>
    <w:rsid w:val="2DAF3E40"/>
    <w:rsid w:val="2DD35D80"/>
    <w:rsid w:val="2E045F3A"/>
    <w:rsid w:val="2E3D58F0"/>
    <w:rsid w:val="2EB060C2"/>
    <w:rsid w:val="2F572C17"/>
    <w:rsid w:val="2F7470EF"/>
    <w:rsid w:val="2F7B222C"/>
    <w:rsid w:val="2F7E3ACA"/>
    <w:rsid w:val="2FBB7811"/>
    <w:rsid w:val="2FC736C3"/>
    <w:rsid w:val="2FCF4325"/>
    <w:rsid w:val="302A3C52"/>
    <w:rsid w:val="306E1D90"/>
    <w:rsid w:val="309C68FD"/>
    <w:rsid w:val="30D8598E"/>
    <w:rsid w:val="31813D45"/>
    <w:rsid w:val="318178A1"/>
    <w:rsid w:val="31B61C41"/>
    <w:rsid w:val="31DB1D52"/>
    <w:rsid w:val="31F52C3B"/>
    <w:rsid w:val="320C360F"/>
    <w:rsid w:val="3249517A"/>
    <w:rsid w:val="3283761D"/>
    <w:rsid w:val="330E33B7"/>
    <w:rsid w:val="333170A5"/>
    <w:rsid w:val="33331E0D"/>
    <w:rsid w:val="334868C9"/>
    <w:rsid w:val="33905770"/>
    <w:rsid w:val="33EF6B59"/>
    <w:rsid w:val="340053F5"/>
    <w:rsid w:val="340F388A"/>
    <w:rsid w:val="341964B7"/>
    <w:rsid w:val="34367069"/>
    <w:rsid w:val="343B642D"/>
    <w:rsid w:val="344B785E"/>
    <w:rsid w:val="344C4197"/>
    <w:rsid w:val="34910181"/>
    <w:rsid w:val="34B306BA"/>
    <w:rsid w:val="350E5A13"/>
    <w:rsid w:val="351849C1"/>
    <w:rsid w:val="351A5A93"/>
    <w:rsid w:val="353B0E6B"/>
    <w:rsid w:val="3569084F"/>
    <w:rsid w:val="3575596F"/>
    <w:rsid w:val="357D4824"/>
    <w:rsid w:val="358F21A0"/>
    <w:rsid w:val="359978AF"/>
    <w:rsid w:val="35D2691D"/>
    <w:rsid w:val="35E87EEF"/>
    <w:rsid w:val="35ED19A9"/>
    <w:rsid w:val="35EF5721"/>
    <w:rsid w:val="35F26FC0"/>
    <w:rsid w:val="363E0457"/>
    <w:rsid w:val="363E6B4A"/>
    <w:rsid w:val="36C96F41"/>
    <w:rsid w:val="371A0673"/>
    <w:rsid w:val="38154947"/>
    <w:rsid w:val="382611A3"/>
    <w:rsid w:val="38367638"/>
    <w:rsid w:val="38414B66"/>
    <w:rsid w:val="384F24A7"/>
    <w:rsid w:val="38A9631F"/>
    <w:rsid w:val="38BF587F"/>
    <w:rsid w:val="38E946AA"/>
    <w:rsid w:val="3948655B"/>
    <w:rsid w:val="39693A3D"/>
    <w:rsid w:val="39842625"/>
    <w:rsid w:val="39875A82"/>
    <w:rsid w:val="39C944DB"/>
    <w:rsid w:val="3A695377"/>
    <w:rsid w:val="3A7C09D4"/>
    <w:rsid w:val="3A7E7074"/>
    <w:rsid w:val="3A887EF3"/>
    <w:rsid w:val="3AA06FEA"/>
    <w:rsid w:val="3ACF78CF"/>
    <w:rsid w:val="3AE25855"/>
    <w:rsid w:val="3B293484"/>
    <w:rsid w:val="3B561D9F"/>
    <w:rsid w:val="3B564B5A"/>
    <w:rsid w:val="3B800BCA"/>
    <w:rsid w:val="3BAE5737"/>
    <w:rsid w:val="3BBF63A5"/>
    <w:rsid w:val="3BCB5986"/>
    <w:rsid w:val="3BD3519D"/>
    <w:rsid w:val="3BE13072"/>
    <w:rsid w:val="3BF375EE"/>
    <w:rsid w:val="3BF42D11"/>
    <w:rsid w:val="3C011D0B"/>
    <w:rsid w:val="3C336BF6"/>
    <w:rsid w:val="3C3F394C"/>
    <w:rsid w:val="3C5F1072"/>
    <w:rsid w:val="3C7544A7"/>
    <w:rsid w:val="3C7617F3"/>
    <w:rsid w:val="3CB034FE"/>
    <w:rsid w:val="3CC66AB0"/>
    <w:rsid w:val="3D07231F"/>
    <w:rsid w:val="3D0A1093"/>
    <w:rsid w:val="3D0A2E41"/>
    <w:rsid w:val="3D0B53CB"/>
    <w:rsid w:val="3D1071AF"/>
    <w:rsid w:val="3D610E5E"/>
    <w:rsid w:val="3D624A2B"/>
    <w:rsid w:val="3D632551"/>
    <w:rsid w:val="3D7D1865"/>
    <w:rsid w:val="3D804EB1"/>
    <w:rsid w:val="3DBB238D"/>
    <w:rsid w:val="3DE76B84"/>
    <w:rsid w:val="3DFE0BF8"/>
    <w:rsid w:val="3E5052E9"/>
    <w:rsid w:val="3E740EBA"/>
    <w:rsid w:val="3EAD50AD"/>
    <w:rsid w:val="3EBE0387"/>
    <w:rsid w:val="3ED54FA4"/>
    <w:rsid w:val="3EEF0540"/>
    <w:rsid w:val="3F0833B0"/>
    <w:rsid w:val="3F2A5A1C"/>
    <w:rsid w:val="3F3E3276"/>
    <w:rsid w:val="3F984734"/>
    <w:rsid w:val="3FC63954"/>
    <w:rsid w:val="3FCC6AD3"/>
    <w:rsid w:val="3FD44BBA"/>
    <w:rsid w:val="3FF83425"/>
    <w:rsid w:val="400B75FC"/>
    <w:rsid w:val="4029565D"/>
    <w:rsid w:val="4041301D"/>
    <w:rsid w:val="40487FC5"/>
    <w:rsid w:val="407F3B46"/>
    <w:rsid w:val="408829FA"/>
    <w:rsid w:val="410B1EE2"/>
    <w:rsid w:val="4182569C"/>
    <w:rsid w:val="418A4550"/>
    <w:rsid w:val="41D91034"/>
    <w:rsid w:val="41DB4DAC"/>
    <w:rsid w:val="41E21E0C"/>
    <w:rsid w:val="42111FDC"/>
    <w:rsid w:val="423F358D"/>
    <w:rsid w:val="42937435"/>
    <w:rsid w:val="42BA70B7"/>
    <w:rsid w:val="42D27D5B"/>
    <w:rsid w:val="432D7889"/>
    <w:rsid w:val="43915CAD"/>
    <w:rsid w:val="43BC29BB"/>
    <w:rsid w:val="43F87FCF"/>
    <w:rsid w:val="441647C1"/>
    <w:rsid w:val="442353EE"/>
    <w:rsid w:val="44B57B36"/>
    <w:rsid w:val="44CB1F04"/>
    <w:rsid w:val="44EE2CAA"/>
    <w:rsid w:val="451466D0"/>
    <w:rsid w:val="451830CA"/>
    <w:rsid w:val="45466415"/>
    <w:rsid w:val="45561319"/>
    <w:rsid w:val="45765517"/>
    <w:rsid w:val="45800144"/>
    <w:rsid w:val="458F65D9"/>
    <w:rsid w:val="45B7168C"/>
    <w:rsid w:val="45C2075D"/>
    <w:rsid w:val="45D466E2"/>
    <w:rsid w:val="461D3BE5"/>
    <w:rsid w:val="461E170B"/>
    <w:rsid w:val="464C4E86"/>
    <w:rsid w:val="466425ED"/>
    <w:rsid w:val="466E61EE"/>
    <w:rsid w:val="4675052F"/>
    <w:rsid w:val="46BA1434"/>
    <w:rsid w:val="46E6047B"/>
    <w:rsid w:val="4734568A"/>
    <w:rsid w:val="475950F1"/>
    <w:rsid w:val="47646A47"/>
    <w:rsid w:val="476924D2"/>
    <w:rsid w:val="47A67C0A"/>
    <w:rsid w:val="47F60B91"/>
    <w:rsid w:val="482D3E87"/>
    <w:rsid w:val="48455675"/>
    <w:rsid w:val="486A6E89"/>
    <w:rsid w:val="48BF0F83"/>
    <w:rsid w:val="48C60564"/>
    <w:rsid w:val="48FF7464"/>
    <w:rsid w:val="4905074B"/>
    <w:rsid w:val="49D40A5E"/>
    <w:rsid w:val="49E113CD"/>
    <w:rsid w:val="4A6F4C2B"/>
    <w:rsid w:val="4A8A3813"/>
    <w:rsid w:val="4A8C27E6"/>
    <w:rsid w:val="4A8D31D5"/>
    <w:rsid w:val="4AD53588"/>
    <w:rsid w:val="4AE23BC8"/>
    <w:rsid w:val="4B3317B5"/>
    <w:rsid w:val="4B5B02C7"/>
    <w:rsid w:val="4B7B7C81"/>
    <w:rsid w:val="4B886B47"/>
    <w:rsid w:val="4B9A7A86"/>
    <w:rsid w:val="4BE63637"/>
    <w:rsid w:val="4BED5E07"/>
    <w:rsid w:val="4C3103EA"/>
    <w:rsid w:val="4C5C4B7A"/>
    <w:rsid w:val="4C6267F5"/>
    <w:rsid w:val="4C7B78B7"/>
    <w:rsid w:val="4CCE5C39"/>
    <w:rsid w:val="4CF53F5B"/>
    <w:rsid w:val="4D261F37"/>
    <w:rsid w:val="4D562FEC"/>
    <w:rsid w:val="4D5A127B"/>
    <w:rsid w:val="4D6E2F78"/>
    <w:rsid w:val="4D782049"/>
    <w:rsid w:val="4DEA0BB2"/>
    <w:rsid w:val="4E0C123A"/>
    <w:rsid w:val="4E1F474B"/>
    <w:rsid w:val="4E3B667D"/>
    <w:rsid w:val="4E6D76D3"/>
    <w:rsid w:val="4E73608C"/>
    <w:rsid w:val="4EB3158A"/>
    <w:rsid w:val="4ED166E4"/>
    <w:rsid w:val="4EE259CC"/>
    <w:rsid w:val="4EEC05F8"/>
    <w:rsid w:val="4F1813ED"/>
    <w:rsid w:val="4F7C5E20"/>
    <w:rsid w:val="4FA066E8"/>
    <w:rsid w:val="4FB76506"/>
    <w:rsid w:val="4FDD6193"/>
    <w:rsid w:val="4FE319FB"/>
    <w:rsid w:val="50003638"/>
    <w:rsid w:val="501E6ED7"/>
    <w:rsid w:val="50377F99"/>
    <w:rsid w:val="505F4DFA"/>
    <w:rsid w:val="50715259"/>
    <w:rsid w:val="50B45146"/>
    <w:rsid w:val="50DD164E"/>
    <w:rsid w:val="50E84DEF"/>
    <w:rsid w:val="51031C29"/>
    <w:rsid w:val="512E4B87"/>
    <w:rsid w:val="513D15DF"/>
    <w:rsid w:val="51497F84"/>
    <w:rsid w:val="51B545D5"/>
    <w:rsid w:val="521560B8"/>
    <w:rsid w:val="52522E68"/>
    <w:rsid w:val="528D5C4E"/>
    <w:rsid w:val="52A445CA"/>
    <w:rsid w:val="5311478A"/>
    <w:rsid w:val="532E1C4F"/>
    <w:rsid w:val="5371089E"/>
    <w:rsid w:val="53787030"/>
    <w:rsid w:val="53BF62DB"/>
    <w:rsid w:val="53C9715A"/>
    <w:rsid w:val="53D33B35"/>
    <w:rsid w:val="54014B46"/>
    <w:rsid w:val="540D4D1C"/>
    <w:rsid w:val="542579E2"/>
    <w:rsid w:val="547D6032"/>
    <w:rsid w:val="54947768"/>
    <w:rsid w:val="54BE6593"/>
    <w:rsid w:val="54D2203E"/>
    <w:rsid w:val="54FB5D05"/>
    <w:rsid w:val="550A17D8"/>
    <w:rsid w:val="550F6DEF"/>
    <w:rsid w:val="551F0656"/>
    <w:rsid w:val="552D196B"/>
    <w:rsid w:val="55410BF9"/>
    <w:rsid w:val="554B6139"/>
    <w:rsid w:val="557A1216"/>
    <w:rsid w:val="558F6181"/>
    <w:rsid w:val="55A25EB5"/>
    <w:rsid w:val="55C54EFD"/>
    <w:rsid w:val="55FB7373"/>
    <w:rsid w:val="55FD758F"/>
    <w:rsid w:val="56602CE9"/>
    <w:rsid w:val="569357FD"/>
    <w:rsid w:val="56E62D1C"/>
    <w:rsid w:val="574B7E86"/>
    <w:rsid w:val="574D3BFE"/>
    <w:rsid w:val="57544F8D"/>
    <w:rsid w:val="57C12876"/>
    <w:rsid w:val="57ED0501"/>
    <w:rsid w:val="586456A3"/>
    <w:rsid w:val="587C392F"/>
    <w:rsid w:val="588C0756"/>
    <w:rsid w:val="5898359F"/>
    <w:rsid w:val="58A106A5"/>
    <w:rsid w:val="58A77915"/>
    <w:rsid w:val="58AD477B"/>
    <w:rsid w:val="594159E5"/>
    <w:rsid w:val="598C4EB2"/>
    <w:rsid w:val="59A87EC2"/>
    <w:rsid w:val="5A110F4E"/>
    <w:rsid w:val="5A151FE3"/>
    <w:rsid w:val="5A6A0B89"/>
    <w:rsid w:val="5B060C94"/>
    <w:rsid w:val="5B0B44FC"/>
    <w:rsid w:val="5B0D5B7E"/>
    <w:rsid w:val="5B661732"/>
    <w:rsid w:val="5BD9549C"/>
    <w:rsid w:val="5BF9191D"/>
    <w:rsid w:val="5BF9397E"/>
    <w:rsid w:val="5C002B00"/>
    <w:rsid w:val="5C340080"/>
    <w:rsid w:val="5C5477DD"/>
    <w:rsid w:val="5C5F065B"/>
    <w:rsid w:val="5C6706D6"/>
    <w:rsid w:val="5C7C3148"/>
    <w:rsid w:val="5CC91C79"/>
    <w:rsid w:val="5CEE21E8"/>
    <w:rsid w:val="5D072AA1"/>
    <w:rsid w:val="5D3B4FAE"/>
    <w:rsid w:val="5D5F6439"/>
    <w:rsid w:val="5D7719D5"/>
    <w:rsid w:val="5D8453A4"/>
    <w:rsid w:val="5D861C18"/>
    <w:rsid w:val="5DB6074F"/>
    <w:rsid w:val="5DBF70F0"/>
    <w:rsid w:val="5DF43025"/>
    <w:rsid w:val="5E1E62F4"/>
    <w:rsid w:val="5E6A153A"/>
    <w:rsid w:val="5ED115B9"/>
    <w:rsid w:val="5EFF1C82"/>
    <w:rsid w:val="5F1871E8"/>
    <w:rsid w:val="5F4F0E5B"/>
    <w:rsid w:val="5F8A1E93"/>
    <w:rsid w:val="5F990328"/>
    <w:rsid w:val="5FD35B6B"/>
    <w:rsid w:val="600F05EB"/>
    <w:rsid w:val="603269C5"/>
    <w:rsid w:val="603D6C5D"/>
    <w:rsid w:val="60522285"/>
    <w:rsid w:val="607246D5"/>
    <w:rsid w:val="607B393B"/>
    <w:rsid w:val="608E7761"/>
    <w:rsid w:val="60A01243"/>
    <w:rsid w:val="612D6F7F"/>
    <w:rsid w:val="6138147B"/>
    <w:rsid w:val="613B3F3D"/>
    <w:rsid w:val="6155147C"/>
    <w:rsid w:val="617F70AA"/>
    <w:rsid w:val="61A61348"/>
    <w:rsid w:val="61B76844"/>
    <w:rsid w:val="61E433B1"/>
    <w:rsid w:val="61E57855"/>
    <w:rsid w:val="62263B2B"/>
    <w:rsid w:val="6245446B"/>
    <w:rsid w:val="62456545"/>
    <w:rsid w:val="62854B94"/>
    <w:rsid w:val="629D3C8C"/>
    <w:rsid w:val="62AC3ECF"/>
    <w:rsid w:val="62AE4DDD"/>
    <w:rsid w:val="62FA228F"/>
    <w:rsid w:val="63027872"/>
    <w:rsid w:val="63057A83"/>
    <w:rsid w:val="6323690D"/>
    <w:rsid w:val="633839B4"/>
    <w:rsid w:val="63546CE0"/>
    <w:rsid w:val="63660521"/>
    <w:rsid w:val="63964B41"/>
    <w:rsid w:val="63B84AF5"/>
    <w:rsid w:val="64807372"/>
    <w:rsid w:val="649317EA"/>
    <w:rsid w:val="64A15589"/>
    <w:rsid w:val="64AC465A"/>
    <w:rsid w:val="64D4770D"/>
    <w:rsid w:val="64DE2339"/>
    <w:rsid w:val="6522491C"/>
    <w:rsid w:val="654C7BEB"/>
    <w:rsid w:val="656C203B"/>
    <w:rsid w:val="65A43583"/>
    <w:rsid w:val="65F8526B"/>
    <w:rsid w:val="664B0AF5"/>
    <w:rsid w:val="66C37A39"/>
    <w:rsid w:val="6703077D"/>
    <w:rsid w:val="670A5668"/>
    <w:rsid w:val="675F42B1"/>
    <w:rsid w:val="67755F02"/>
    <w:rsid w:val="677D22DE"/>
    <w:rsid w:val="68526106"/>
    <w:rsid w:val="6870599E"/>
    <w:rsid w:val="688A0B03"/>
    <w:rsid w:val="68ED6FEF"/>
    <w:rsid w:val="690C1B6B"/>
    <w:rsid w:val="692F13B6"/>
    <w:rsid w:val="69431305"/>
    <w:rsid w:val="695D4175"/>
    <w:rsid w:val="69763488"/>
    <w:rsid w:val="69A0462D"/>
    <w:rsid w:val="6A1862EE"/>
    <w:rsid w:val="6A1A2066"/>
    <w:rsid w:val="6A1D1B56"/>
    <w:rsid w:val="6A2B4273"/>
    <w:rsid w:val="6A2B4A87"/>
    <w:rsid w:val="6A4964A7"/>
    <w:rsid w:val="6A7A6795"/>
    <w:rsid w:val="6A80131E"/>
    <w:rsid w:val="6AAA2146"/>
    <w:rsid w:val="6ABC136F"/>
    <w:rsid w:val="6B252A70"/>
    <w:rsid w:val="6B460C38"/>
    <w:rsid w:val="6B4C6968"/>
    <w:rsid w:val="6B567508"/>
    <w:rsid w:val="6B625C9E"/>
    <w:rsid w:val="6B765258"/>
    <w:rsid w:val="6BBB5226"/>
    <w:rsid w:val="6BC73B27"/>
    <w:rsid w:val="6BD91777"/>
    <w:rsid w:val="6C007039"/>
    <w:rsid w:val="6C156F89"/>
    <w:rsid w:val="6C1D5E3D"/>
    <w:rsid w:val="6C296590"/>
    <w:rsid w:val="6C354444"/>
    <w:rsid w:val="6D064B23"/>
    <w:rsid w:val="6D2408DD"/>
    <w:rsid w:val="6D4D2752"/>
    <w:rsid w:val="6D8A3C4A"/>
    <w:rsid w:val="6DEA61F3"/>
    <w:rsid w:val="6E241705"/>
    <w:rsid w:val="6E313E22"/>
    <w:rsid w:val="6E5D6C31"/>
    <w:rsid w:val="6E696EE7"/>
    <w:rsid w:val="6E922B12"/>
    <w:rsid w:val="6E9E7142"/>
    <w:rsid w:val="6EBD0F25"/>
    <w:rsid w:val="6EC66318"/>
    <w:rsid w:val="6F086931"/>
    <w:rsid w:val="6F2968A7"/>
    <w:rsid w:val="6F3239AE"/>
    <w:rsid w:val="6F5B73A8"/>
    <w:rsid w:val="6F7915DC"/>
    <w:rsid w:val="6FA75B73"/>
    <w:rsid w:val="6FE50A20"/>
    <w:rsid w:val="6FF00E32"/>
    <w:rsid w:val="7040659E"/>
    <w:rsid w:val="705931BC"/>
    <w:rsid w:val="708C17E3"/>
    <w:rsid w:val="70BE7F7D"/>
    <w:rsid w:val="70CA3BF3"/>
    <w:rsid w:val="70D25448"/>
    <w:rsid w:val="7152257D"/>
    <w:rsid w:val="71685DAD"/>
    <w:rsid w:val="71EF3FF7"/>
    <w:rsid w:val="720E6003"/>
    <w:rsid w:val="724A3FE1"/>
    <w:rsid w:val="725C3C88"/>
    <w:rsid w:val="729055BB"/>
    <w:rsid w:val="72930E12"/>
    <w:rsid w:val="72BA0AAF"/>
    <w:rsid w:val="72DD1E82"/>
    <w:rsid w:val="72E455DA"/>
    <w:rsid w:val="72F956FA"/>
    <w:rsid w:val="73075151"/>
    <w:rsid w:val="731F06ED"/>
    <w:rsid w:val="73261CF2"/>
    <w:rsid w:val="732E26DE"/>
    <w:rsid w:val="73396083"/>
    <w:rsid w:val="73655314"/>
    <w:rsid w:val="738B18DE"/>
    <w:rsid w:val="73FA1062"/>
    <w:rsid w:val="74130252"/>
    <w:rsid w:val="741B5358"/>
    <w:rsid w:val="74343D24"/>
    <w:rsid w:val="744E128A"/>
    <w:rsid w:val="746E083A"/>
    <w:rsid w:val="74890514"/>
    <w:rsid w:val="74AF2DDE"/>
    <w:rsid w:val="74FA1909"/>
    <w:rsid w:val="750E0A19"/>
    <w:rsid w:val="75271ADB"/>
    <w:rsid w:val="75334EC3"/>
    <w:rsid w:val="75355FA6"/>
    <w:rsid w:val="754A7ABC"/>
    <w:rsid w:val="75640639"/>
    <w:rsid w:val="7564688B"/>
    <w:rsid w:val="75952EE8"/>
    <w:rsid w:val="759A6034"/>
    <w:rsid w:val="75B772F5"/>
    <w:rsid w:val="75BB6EF8"/>
    <w:rsid w:val="75CE1F56"/>
    <w:rsid w:val="75DF5F11"/>
    <w:rsid w:val="75F47C0F"/>
    <w:rsid w:val="76746D49"/>
    <w:rsid w:val="769A5E93"/>
    <w:rsid w:val="76C218E6"/>
    <w:rsid w:val="77493F8A"/>
    <w:rsid w:val="77512E3F"/>
    <w:rsid w:val="778C3E77"/>
    <w:rsid w:val="77D575CC"/>
    <w:rsid w:val="77E23F4F"/>
    <w:rsid w:val="77FC0FFD"/>
    <w:rsid w:val="783469E8"/>
    <w:rsid w:val="78407BB7"/>
    <w:rsid w:val="78573351"/>
    <w:rsid w:val="78CD13C4"/>
    <w:rsid w:val="79334EF2"/>
    <w:rsid w:val="79346574"/>
    <w:rsid w:val="794013BD"/>
    <w:rsid w:val="794E5888"/>
    <w:rsid w:val="79517126"/>
    <w:rsid w:val="797027BF"/>
    <w:rsid w:val="79C478F8"/>
    <w:rsid w:val="79D7587D"/>
    <w:rsid w:val="79DA711C"/>
    <w:rsid w:val="79F44681"/>
    <w:rsid w:val="7A0D129F"/>
    <w:rsid w:val="7A0D74F1"/>
    <w:rsid w:val="7A0F14BB"/>
    <w:rsid w:val="7A3E58FC"/>
    <w:rsid w:val="7A5C3FD5"/>
    <w:rsid w:val="7A9C0875"/>
    <w:rsid w:val="7AAF05A8"/>
    <w:rsid w:val="7AD149C3"/>
    <w:rsid w:val="7AF74DBE"/>
    <w:rsid w:val="7B9559F0"/>
    <w:rsid w:val="7BA06143"/>
    <w:rsid w:val="7BB8348D"/>
    <w:rsid w:val="7BFE3DF2"/>
    <w:rsid w:val="7C596A1E"/>
    <w:rsid w:val="7C63164A"/>
    <w:rsid w:val="7CAA7279"/>
    <w:rsid w:val="7CBE2D25"/>
    <w:rsid w:val="7CD6006E"/>
    <w:rsid w:val="7CDB5685"/>
    <w:rsid w:val="7CE87DA1"/>
    <w:rsid w:val="7CFA10AF"/>
    <w:rsid w:val="7D452A1A"/>
    <w:rsid w:val="7D637428"/>
    <w:rsid w:val="7D676042"/>
    <w:rsid w:val="7D6C09D3"/>
    <w:rsid w:val="7D6E64F9"/>
    <w:rsid w:val="7D8F021D"/>
    <w:rsid w:val="7DB36601"/>
    <w:rsid w:val="7DDF73F6"/>
    <w:rsid w:val="7DE82A78"/>
    <w:rsid w:val="7DEC38C1"/>
    <w:rsid w:val="7E1C5F55"/>
    <w:rsid w:val="7E292420"/>
    <w:rsid w:val="7E3F60E7"/>
    <w:rsid w:val="7E4436FD"/>
    <w:rsid w:val="7EEB5927"/>
    <w:rsid w:val="7F016EF9"/>
    <w:rsid w:val="7F2C21C7"/>
    <w:rsid w:val="7F601E71"/>
    <w:rsid w:val="7F69367F"/>
    <w:rsid w:val="7F6A7194"/>
    <w:rsid w:val="7F78540D"/>
    <w:rsid w:val="7F871AF4"/>
    <w:rsid w:val="7F8A3392"/>
    <w:rsid w:val="7FA95426"/>
    <w:rsid w:val="7FAC50B6"/>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2" w:firstLineChars="200"/>
      <w:jc w:val="both"/>
    </w:pPr>
    <w:rPr>
      <w:rFonts w:ascii="仿宋" w:hAnsi="仿宋" w:eastAsia="仿宋" w:cs="仿宋"/>
      <w:kern w:val="2"/>
      <w:sz w:val="24"/>
      <w:szCs w:val="24"/>
      <w:lang w:val="en-US" w:eastAsia="zh-CN" w:bidi="ar-SA"/>
    </w:rPr>
  </w:style>
  <w:style w:type="paragraph" w:styleId="2">
    <w:name w:val="heading 1"/>
    <w:basedOn w:val="1"/>
    <w:next w:val="1"/>
    <w:link w:val="17"/>
    <w:qFormat/>
    <w:uiPriority w:val="0"/>
    <w:pPr>
      <w:keepNext/>
      <w:keepLines/>
      <w:numPr>
        <w:ilvl w:val="0"/>
        <w:numId w:val="1"/>
      </w:numPr>
      <w:ind w:left="0" w:firstLine="0" w:firstLineChars="0"/>
      <w:outlineLvl w:val="0"/>
    </w:pPr>
    <w:rPr>
      <w:b/>
      <w:kern w:val="44"/>
      <w:sz w:val="28"/>
    </w:rPr>
  </w:style>
  <w:style w:type="paragraph" w:styleId="3">
    <w:name w:val="heading 2"/>
    <w:basedOn w:val="2"/>
    <w:next w:val="1"/>
    <w:link w:val="21"/>
    <w:unhideWhenUsed/>
    <w:qFormat/>
    <w:uiPriority w:val="0"/>
    <w:pPr>
      <w:numPr>
        <w:ilvl w:val="1"/>
      </w:numPr>
      <w:ind w:left="0"/>
      <w:outlineLvl w:val="1"/>
    </w:pPr>
  </w:style>
  <w:style w:type="paragraph" w:styleId="4">
    <w:name w:val="heading 3"/>
    <w:basedOn w:val="1"/>
    <w:next w:val="1"/>
    <w:link w:val="22"/>
    <w:unhideWhenUsed/>
    <w:qFormat/>
    <w:uiPriority w:val="0"/>
    <w:pPr>
      <w:keepNext/>
      <w:keepLines/>
      <w:numPr>
        <w:ilvl w:val="2"/>
        <w:numId w:val="1"/>
      </w:numPr>
      <w:ind w:left="0" w:firstLine="0" w:firstLineChars="0"/>
      <w:outlineLvl w:val="2"/>
    </w:pPr>
    <w:rPr>
      <w:b/>
      <w:bCs/>
      <w:sz w:val="28"/>
    </w:rPr>
  </w:style>
  <w:style w:type="paragraph" w:styleId="5">
    <w:name w:val="heading 4"/>
    <w:basedOn w:val="1"/>
    <w:next w:val="1"/>
    <w:link w:val="23"/>
    <w:semiHidden/>
    <w:unhideWhenUsed/>
    <w:qFormat/>
    <w:uiPriority w:val="0"/>
    <w:pPr>
      <w:keepNext/>
      <w:keepLines/>
      <w:numPr>
        <w:ilvl w:val="3"/>
        <w:numId w:val="1"/>
      </w:numPr>
      <w:spacing w:before="280" w:after="195" w:line="376" w:lineRule="auto"/>
      <w:ind w:firstLine="0" w:firstLineChars="0"/>
      <w:outlineLvl w:val="3"/>
    </w:pPr>
    <w:rPr>
      <w:rFonts w:ascii="Times New Roman" w:hAnsi="Times New Roman"/>
      <w:b/>
      <w:bCs/>
      <w:sz w:val="30"/>
      <w:szCs w:val="28"/>
    </w:rPr>
  </w:style>
  <w:style w:type="paragraph" w:styleId="6">
    <w:name w:val="heading 5"/>
    <w:basedOn w:val="1"/>
    <w:next w:val="1"/>
    <w:link w:val="24"/>
    <w:semiHidden/>
    <w:unhideWhenUsed/>
    <w:qFormat/>
    <w:uiPriority w:val="0"/>
    <w:pPr>
      <w:keepNext/>
      <w:keepLines/>
      <w:numPr>
        <w:ilvl w:val="4"/>
        <w:numId w:val="2"/>
      </w:numPr>
      <w:spacing w:before="280" w:after="156" w:line="377" w:lineRule="auto"/>
      <w:outlineLvl w:val="4"/>
    </w:pPr>
    <w:rPr>
      <w:b/>
      <w:bCs/>
      <w:sz w:val="28"/>
      <w:szCs w:val="28"/>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0"/>
    <w:pPr>
      <w:tabs>
        <w:tab w:val="left" w:pos="5293"/>
      </w:tabs>
    </w:pPr>
    <w:rPr>
      <w:rFonts w:cs="Times New Roman"/>
      <w:b/>
      <w:bCs/>
    </w:rPr>
  </w:style>
  <w:style w:type="paragraph" w:styleId="8">
    <w:name w:val="Plain Text"/>
    <w:basedOn w:val="1"/>
    <w:qFormat/>
    <w:uiPriority w:val="0"/>
    <w:rPr>
      <w:rFonts w:ascii="宋体" w:hAnsi="Courier New"/>
    </w:rPr>
  </w:style>
  <w:style w:type="paragraph" w:styleId="9">
    <w:name w:val="footer"/>
    <w:basedOn w:val="1"/>
    <w:link w:val="28"/>
    <w:uiPriority w:val="99"/>
    <w:pPr>
      <w:tabs>
        <w:tab w:val="center" w:pos="4153"/>
        <w:tab w:val="right" w:pos="8306"/>
      </w:tabs>
      <w:snapToGrid w:val="0"/>
      <w:spacing w:line="240" w:lineRule="auto"/>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1">
    <w:name w:val="Subtitle"/>
    <w:basedOn w:val="1"/>
    <w:qFormat/>
    <w:uiPriority w:val="0"/>
    <w:pPr>
      <w:spacing w:before="240" w:after="60" w:line="312" w:lineRule="auto"/>
      <w:jc w:val="center"/>
      <w:outlineLvl w:val="1"/>
    </w:pPr>
    <w:rPr>
      <w:rFonts w:ascii="Arial" w:hAnsi="Arial"/>
      <w:b/>
      <w:kern w:val="28"/>
      <w:sz w:val="32"/>
    </w:rPr>
  </w:style>
  <w:style w:type="character" w:styleId="14">
    <w:name w:val="Strong"/>
    <w:basedOn w:val="13"/>
    <w:qFormat/>
    <w:uiPriority w:val="22"/>
    <w:rPr>
      <w:b/>
    </w:rPr>
  </w:style>
  <w:style w:type="character" w:styleId="15">
    <w:name w:val="FollowedHyperlink"/>
    <w:basedOn w:val="13"/>
    <w:uiPriority w:val="0"/>
    <w:rPr>
      <w:color w:val="800080"/>
      <w:u w:val="single"/>
    </w:rPr>
  </w:style>
  <w:style w:type="character" w:styleId="16">
    <w:name w:val="Hyperlink"/>
    <w:basedOn w:val="13"/>
    <w:qFormat/>
    <w:uiPriority w:val="0"/>
    <w:rPr>
      <w:color w:val="0000FF"/>
      <w:u w:val="single"/>
    </w:rPr>
  </w:style>
  <w:style w:type="character" w:customStyle="1" w:styleId="17">
    <w:name w:val="标题 1 字符"/>
    <w:link w:val="2"/>
    <w:qFormat/>
    <w:uiPriority w:val="0"/>
    <w:rPr>
      <w:rFonts w:ascii="仿宋" w:hAnsi="仿宋" w:eastAsia="仿宋" w:cs="仿宋"/>
      <w:b/>
      <w:kern w:val="44"/>
      <w:sz w:val="28"/>
      <w:szCs w:val="24"/>
      <w:lang w:val="en-US" w:eastAsia="zh-CN" w:bidi="ar-SA"/>
    </w:rPr>
  </w:style>
  <w:style w:type="paragraph" w:customStyle="1" w:styleId="18">
    <w:name w:val="2级标题SC"/>
    <w:basedOn w:val="1"/>
    <w:qFormat/>
    <w:uiPriority w:val="0"/>
    <w:pPr>
      <w:numPr>
        <w:ilvl w:val="1"/>
        <w:numId w:val="2"/>
      </w:numPr>
      <w:ind w:firstLineChars="0"/>
    </w:pPr>
  </w:style>
  <w:style w:type="paragraph" w:customStyle="1" w:styleId="19">
    <w:name w:val="3级标题SC"/>
    <w:basedOn w:val="1"/>
    <w:qFormat/>
    <w:uiPriority w:val="0"/>
    <w:pPr>
      <w:numPr>
        <w:ilvl w:val="2"/>
        <w:numId w:val="2"/>
      </w:numPr>
      <w:ind w:firstLineChars="0"/>
    </w:pPr>
  </w:style>
  <w:style w:type="paragraph" w:customStyle="1" w:styleId="20">
    <w:name w:val="4级标题SC"/>
    <w:basedOn w:val="1"/>
    <w:uiPriority w:val="0"/>
    <w:pPr>
      <w:numPr>
        <w:ilvl w:val="3"/>
        <w:numId w:val="2"/>
      </w:numPr>
      <w:ind w:firstLineChars="0"/>
    </w:pPr>
  </w:style>
  <w:style w:type="character" w:customStyle="1" w:styleId="21">
    <w:name w:val="标题 2 字符"/>
    <w:link w:val="3"/>
    <w:qFormat/>
    <w:uiPriority w:val="0"/>
    <w:rPr>
      <w:rFonts w:ascii="仿宋" w:hAnsi="仿宋" w:eastAsia="仿宋" w:cs="仿宋"/>
      <w:b/>
      <w:kern w:val="44"/>
      <w:sz w:val="28"/>
      <w:szCs w:val="24"/>
      <w:lang w:val="en-US" w:eastAsia="zh-CN" w:bidi="ar-SA"/>
    </w:rPr>
  </w:style>
  <w:style w:type="character" w:customStyle="1" w:styleId="22">
    <w:name w:val="标题 3 字符"/>
    <w:link w:val="4"/>
    <w:qFormat/>
    <w:uiPriority w:val="0"/>
    <w:rPr>
      <w:rFonts w:ascii="仿宋" w:hAnsi="仿宋" w:eastAsia="仿宋" w:cs="仿宋"/>
      <w:b/>
      <w:bCs/>
      <w:kern w:val="2"/>
      <w:sz w:val="28"/>
      <w:szCs w:val="24"/>
    </w:rPr>
  </w:style>
  <w:style w:type="character" w:customStyle="1" w:styleId="23">
    <w:name w:val="标题 4 字符"/>
    <w:link w:val="5"/>
    <w:qFormat/>
    <w:uiPriority w:val="0"/>
    <w:rPr>
      <w:rFonts w:ascii="Times New Roman" w:hAnsi="Times New Roman" w:eastAsia="仿宋"/>
      <w:b/>
      <w:bCs/>
      <w:kern w:val="2"/>
      <w:sz w:val="30"/>
      <w:szCs w:val="28"/>
      <w:lang w:eastAsia="zh-CN"/>
    </w:rPr>
  </w:style>
  <w:style w:type="character" w:customStyle="1" w:styleId="24">
    <w:name w:val="标题 5 字符"/>
    <w:link w:val="6"/>
    <w:qFormat/>
    <w:uiPriority w:val="0"/>
    <w:rPr>
      <w:rFonts w:ascii="仿宋" w:hAnsi="仿宋" w:eastAsia="仿宋"/>
      <w:b/>
      <w:bCs/>
      <w:kern w:val="2"/>
      <w:sz w:val="28"/>
      <w:szCs w:val="28"/>
      <w:lang w:eastAsia="zh-CN"/>
    </w:rPr>
  </w:style>
  <w:style w:type="paragraph" w:customStyle="1" w:styleId="25">
    <w:name w:val="表格"/>
    <w:basedOn w:val="8"/>
    <w:qFormat/>
    <w:uiPriority w:val="0"/>
    <w:pPr>
      <w:spacing w:line="240" w:lineRule="auto"/>
      <w:ind w:firstLine="0" w:firstLineChars="0"/>
      <w:jc w:val="center"/>
      <w:textAlignment w:val="center"/>
    </w:pPr>
    <w:rPr>
      <w:rFonts w:ascii="仿宋" w:hAnsi="仿宋"/>
    </w:rPr>
  </w:style>
  <w:style w:type="paragraph" w:customStyle="1" w:styleId="26">
    <w:name w:val="插图标题/题注"/>
    <w:basedOn w:val="1"/>
    <w:qFormat/>
    <w:uiPriority w:val="0"/>
    <w:pPr>
      <w:tabs>
        <w:tab w:val="left" w:pos="5293"/>
      </w:tabs>
      <w:spacing w:line="240" w:lineRule="auto"/>
      <w:ind w:firstLine="0" w:firstLineChars="0"/>
      <w:jc w:val="center"/>
    </w:pPr>
    <w:rPr>
      <w:b/>
    </w:rPr>
  </w:style>
  <w:style w:type="character" w:customStyle="1" w:styleId="27">
    <w:name w:val="页眉 字符"/>
    <w:basedOn w:val="13"/>
    <w:link w:val="10"/>
    <w:uiPriority w:val="0"/>
    <w:rPr>
      <w:rFonts w:ascii="仿宋" w:hAnsi="仿宋" w:eastAsia="仿宋" w:cs="仿宋"/>
      <w:kern w:val="2"/>
      <w:sz w:val="18"/>
      <w:szCs w:val="18"/>
    </w:rPr>
  </w:style>
  <w:style w:type="character" w:customStyle="1" w:styleId="28">
    <w:name w:val="页脚 字符"/>
    <w:basedOn w:val="13"/>
    <w:link w:val="9"/>
    <w:uiPriority w:val="99"/>
    <w:rPr>
      <w:rFonts w:ascii="仿宋" w:hAnsi="仿宋" w:eastAsia="仿宋" w:cs="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numbering" Target="numbering.xml"/><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jpe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FFF1E-EBD7-4514-BF71-ECFC288CC877}">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7189</Words>
  <Characters>7318</Characters>
  <Lines>47</Lines>
  <Paragraphs>13</Paragraphs>
  <TotalTime>1</TotalTime>
  <ScaleCrop>false</ScaleCrop>
  <LinksUpToDate>false</LinksUpToDate>
  <CharactersWithSpaces>7336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2025-05-16T07:00:00Z</dcterms:created>
  <dc:creator>余青林</dc:creator>
  <cp:lastModifiedBy>余青林</cp:lastModifiedBy>
  <dcterms:modified xsi:type="dcterms:W3CDTF">2026-07-28T08:10:33Z</dcterms:modified>
  <cp:revision>574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5F7ECACA8D8749BA9FD799EE2DB8CE20_12</vt:lpwstr>
  </property>
  <property fmtid="{D5CDD505-2E9C-101B-9397-08002B2CF9AE}" pid="4" name="KSOTemplateDocerSaveRecord">
    <vt:lpwstr>eyJoZGlkIjoiYmQ3NjQxYmZmN2ZkODIxYWNiNTEzMzQyMTZmNzQ1MmMiLCJ1c2VySWQiOiIyODI4MzI5NjYifQ==</vt:lpwstr>
  </property>
</Properties>
</file>